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B1B49" w:rsidP="005B1B49" w:rsidRDefault="005B1B49" w14:paraId="31538958" w14:textId="77777777">
      <w:pPr>
        <w:pStyle w:val="SensirionSubtitle"/>
      </w:pPr>
    </w:p>
    <w:p w:rsidRPr="004769A1" w:rsidR="005B1B49" w:rsidP="005B1B49" w:rsidRDefault="005B1B49" w14:paraId="6CC8B76E" w14:textId="77777777">
      <w:pPr>
        <w:pStyle w:val="SensirionSubtitle"/>
      </w:pPr>
      <w:r w:rsidRPr="004769A1">
        <w:t>Media Release</w:t>
      </w:r>
    </w:p>
    <w:p w:rsidRPr="004769A1" w:rsidR="005B1B49" w:rsidP="005B1B49" w:rsidRDefault="004D1E9E" w14:paraId="6B31D538" w14:textId="40FCD6EC">
      <w:pPr>
        <w:pStyle w:val="SensirionSubtitle"/>
        <w:rPr>
          <w:lang w:val="en-GB"/>
        </w:rPr>
      </w:pPr>
      <w:r w:rsidRPr="21A2B372" w:rsidR="2704E9FF">
        <w:rPr>
          <w:lang w:val="en-GB"/>
        </w:rPr>
        <w:t>21.04.2026</w:t>
      </w:r>
      <w:r w:rsidRPr="21A2B372" w:rsidR="5093E979">
        <w:rPr>
          <w:lang w:val="en-GB"/>
        </w:rPr>
        <w:t xml:space="preserve">, Sensirion AG, 8712 </w:t>
      </w:r>
      <w:r w:rsidRPr="21A2B372" w:rsidR="5093E979">
        <w:rPr>
          <w:lang w:val="en-GB"/>
        </w:rPr>
        <w:t>Stäfa</w:t>
      </w:r>
      <w:r w:rsidRPr="21A2B372" w:rsidR="5093E979">
        <w:rPr>
          <w:lang w:val="en-GB"/>
        </w:rPr>
        <w:t xml:space="preserve">, </w:t>
      </w:r>
      <w:r w:rsidRPr="21A2B372" w:rsidR="12FB8994">
        <w:rPr>
          <w:lang w:val="en-GB"/>
        </w:rPr>
        <w:t>Switzerland</w:t>
      </w:r>
    </w:p>
    <w:p w:rsidRPr="004769A1" w:rsidR="00464FD5" w:rsidP="00116453" w:rsidRDefault="00464FD5" w14:paraId="59835CE9" w14:textId="77777777">
      <w:pPr>
        <w:pStyle w:val="SensirionTitle"/>
        <w:pBdr>
          <w:top w:val="single" w:color="auto" w:sz="4" w:space="1"/>
        </w:pBdr>
        <w:rPr>
          <w:highlight w:val="yellow"/>
          <w:lang w:val="en-GB" w:eastAsia="de-DE"/>
        </w:rPr>
      </w:pPr>
    </w:p>
    <w:p w:rsidRPr="00C22BAE" w:rsidR="00464FD5" w:rsidP="00F07DDC" w:rsidRDefault="00464FD5" w14:paraId="21A21EFE" w14:textId="12C977C4">
      <w:pPr>
        <w:pStyle w:val="SensirionTitle"/>
        <w:rPr>
          <w:lang w:eastAsia="de-DE"/>
        </w:rPr>
      </w:pPr>
      <w:r>
        <w:rPr>
          <w:lang w:eastAsia="de-DE"/>
        </w:rPr>
        <w:t xml:space="preserve">Sensirion announces global availability of </w:t>
      </w:r>
      <w:r w:rsidR="005F18D9">
        <w:rPr>
          <w:lang w:eastAsia="de-DE"/>
        </w:rPr>
        <w:t xml:space="preserve">the </w:t>
      </w:r>
      <w:r w:rsidR="001B3C47">
        <w:rPr>
          <w:lang w:eastAsia="de-DE"/>
        </w:rPr>
        <w:t xml:space="preserve">environmental </w:t>
      </w:r>
      <w:r w:rsidR="00852491">
        <w:rPr>
          <w:lang w:eastAsia="de-DE"/>
        </w:rPr>
        <w:t>sensing platform</w:t>
      </w:r>
      <w:r w:rsidR="006345C9">
        <w:rPr>
          <w:lang w:eastAsia="de-DE"/>
        </w:rPr>
        <w:t xml:space="preserve"> </w:t>
      </w:r>
      <w:r>
        <w:rPr>
          <w:lang w:eastAsia="de-DE"/>
        </w:rPr>
        <w:t>SEN62</w:t>
      </w:r>
    </w:p>
    <w:p w:rsidRPr="00116453" w:rsidR="005B1B49" w:rsidP="00116453" w:rsidRDefault="005B1B49" w14:paraId="6315CE12" w14:textId="00A92628">
      <w:pPr>
        <w:rPr>
          <w:lang w:eastAsia="de-DE"/>
        </w:rPr>
      </w:pPr>
    </w:p>
    <w:p w:rsidR="00116453" w:rsidP="008664AE" w:rsidRDefault="00F619E5" w14:paraId="0A783450" w14:textId="61F15905">
      <w:pPr>
        <w:jc w:val="both"/>
        <w:rPr>
          <w:b/>
          <w:bCs/>
          <w:lang w:eastAsia="de-DE"/>
        </w:rPr>
      </w:pPr>
      <w:r w:rsidRPr="305A4315">
        <w:rPr>
          <w:b/>
          <w:bCs/>
          <w:lang w:eastAsia="de-DE"/>
        </w:rPr>
        <w:t>Sensirion is pleased to announce the</w:t>
      </w:r>
      <w:r w:rsidR="0049037D">
        <w:rPr>
          <w:b/>
          <w:bCs/>
          <w:lang w:eastAsia="de-DE"/>
        </w:rPr>
        <w:t xml:space="preserve"> general</w:t>
      </w:r>
      <w:r w:rsidRPr="305A4315" w:rsidR="6E3A8EA3">
        <w:rPr>
          <w:b/>
          <w:bCs/>
          <w:lang w:eastAsia="de-DE"/>
        </w:rPr>
        <w:t xml:space="preserve"> </w:t>
      </w:r>
      <w:r w:rsidRPr="305A4315">
        <w:rPr>
          <w:b/>
          <w:bCs/>
          <w:lang w:eastAsia="de-DE"/>
        </w:rPr>
        <w:t xml:space="preserve">market </w:t>
      </w:r>
      <w:r w:rsidR="0049037D">
        <w:rPr>
          <w:b/>
          <w:bCs/>
          <w:lang w:eastAsia="de-DE"/>
        </w:rPr>
        <w:t>avai</w:t>
      </w:r>
      <w:r w:rsidR="00705606">
        <w:rPr>
          <w:b/>
          <w:bCs/>
          <w:lang w:eastAsia="de-DE"/>
        </w:rPr>
        <w:t>lability</w:t>
      </w:r>
      <w:r w:rsidRPr="305A4315" w:rsidR="34D22A6A">
        <w:rPr>
          <w:b/>
          <w:bCs/>
          <w:lang w:eastAsia="de-DE"/>
        </w:rPr>
        <w:t xml:space="preserve"> </w:t>
      </w:r>
      <w:r w:rsidRPr="305A4315">
        <w:rPr>
          <w:b/>
          <w:bCs/>
          <w:lang w:eastAsia="de-DE"/>
        </w:rPr>
        <w:t>of the SEN62, a compact environmental sensing module</w:t>
      </w:r>
      <w:r w:rsidR="00606A75">
        <w:rPr>
          <w:b/>
          <w:bCs/>
          <w:lang w:eastAsia="de-DE"/>
        </w:rPr>
        <w:t xml:space="preserve"> t</w:t>
      </w:r>
      <w:r w:rsidRPr="305A4315" w:rsidR="7068DA48">
        <w:rPr>
          <w:rFonts w:ascii="Segoe UI" w:hAnsi="Segoe UI"/>
          <w:b/>
          <w:bCs/>
        </w:rPr>
        <w:t>hat measures key air quality parameters such as particulate matter, humidity and temperature</w:t>
      </w:r>
      <w:r w:rsidR="00372788">
        <w:rPr>
          <w:rFonts w:ascii="Segoe UI" w:hAnsi="Segoe UI"/>
          <w:b/>
          <w:bCs/>
        </w:rPr>
        <w:t xml:space="preserve">. </w:t>
      </w:r>
      <w:r w:rsidR="00101A5E">
        <w:rPr>
          <w:rFonts w:ascii="Segoe UI" w:hAnsi="Segoe UI"/>
          <w:b/>
          <w:bCs/>
        </w:rPr>
        <w:t>Designed for</w:t>
      </w:r>
      <w:r w:rsidRPr="305A4315" w:rsidR="7068DA48">
        <w:rPr>
          <w:rFonts w:ascii="Segoe UI" w:hAnsi="Segoe UI"/>
          <w:b/>
          <w:bCs/>
        </w:rPr>
        <w:t xml:space="preserve"> easy and cost‑efficient integration into a wide range of devices</w:t>
      </w:r>
      <w:r w:rsidR="00005E23">
        <w:rPr>
          <w:rFonts w:ascii="Segoe UI" w:hAnsi="Segoe UI"/>
          <w:b/>
          <w:bCs/>
        </w:rPr>
        <w:t>,</w:t>
      </w:r>
      <w:r w:rsidRPr="305A4315" w:rsidR="5DAC81D0">
        <w:rPr>
          <w:rFonts w:ascii="Segoe UI" w:hAnsi="Segoe UI"/>
          <w:b/>
          <w:bCs/>
        </w:rPr>
        <w:t xml:space="preserve"> </w:t>
      </w:r>
      <w:r w:rsidR="00005E23">
        <w:rPr>
          <w:b/>
          <w:bCs/>
          <w:lang w:eastAsia="de-DE"/>
        </w:rPr>
        <w:t>t</w:t>
      </w:r>
      <w:r w:rsidRPr="305A4315">
        <w:rPr>
          <w:b/>
          <w:bCs/>
          <w:lang w:eastAsia="de-DE"/>
        </w:rPr>
        <w:t xml:space="preserve">he </w:t>
      </w:r>
      <w:r w:rsidRPr="305A4315" w:rsidR="00464FD5">
        <w:rPr>
          <w:b/>
          <w:bCs/>
          <w:lang w:eastAsia="de-DE"/>
        </w:rPr>
        <w:t xml:space="preserve">SEN62 is now available for purchase through </w:t>
      </w:r>
      <w:r w:rsidR="0049037D">
        <w:rPr>
          <w:b/>
          <w:bCs/>
          <w:lang w:eastAsia="de-DE"/>
        </w:rPr>
        <w:t>our</w:t>
      </w:r>
      <w:r w:rsidRPr="305A4315" w:rsidR="00464FD5">
        <w:rPr>
          <w:b/>
          <w:bCs/>
          <w:lang w:eastAsia="de-DE"/>
        </w:rPr>
        <w:t xml:space="preserve"> global network of trusted channel partners.</w:t>
      </w:r>
    </w:p>
    <w:p w:rsidRPr="008664AE" w:rsidR="008664AE" w:rsidP="008664AE" w:rsidRDefault="008664AE" w14:paraId="74F9DB69" w14:textId="77777777">
      <w:pPr>
        <w:jc w:val="both"/>
        <w:rPr>
          <w:b/>
          <w:bCs/>
          <w:lang w:eastAsia="de-DE"/>
        </w:rPr>
      </w:pPr>
    </w:p>
    <w:p w:rsidR="00116453" w:rsidP="21A2B372" w:rsidRDefault="00116453" w14:paraId="7907A35E" w14:textId="09DE2117">
      <w:pPr>
        <w:ind w:left="3540"/>
        <w:jc w:val="left"/>
        <w:rPr>
          <w:lang w:eastAsia="de-DE"/>
        </w:rPr>
      </w:pPr>
    </w:p>
    <w:p w:rsidR="048C11FA" w:rsidP="21A2B372" w:rsidRDefault="048C11FA" w14:paraId="7705A422" w14:textId="4486AE00">
      <w:pPr>
        <w:pStyle w:val="Normal"/>
        <w:ind w:left="0"/>
        <w:jc w:val="both"/>
      </w:pPr>
      <w:r w:rsidR="048C11FA">
        <w:drawing>
          <wp:inline wp14:editId="28456AC5" wp14:anchorId="289E8042">
            <wp:extent cx="5762625" cy="3028950"/>
            <wp:effectExtent l="0" t="0" r="0" b="0"/>
            <wp:docPr id="117671842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76718426" name="Picture 1176718426"/>
                    <pic:cNvPicPr/>
                  </pic:nvPicPr>
                  <pic:blipFill>
                    <a:blip xmlns:r="http://schemas.openxmlformats.org/officeDocument/2006/relationships" r:embed="rId73566239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453" w:rsidP="00116453" w:rsidRDefault="00746FE2" w14:paraId="3E4F411A" w14:textId="4855C241">
      <w:pPr>
        <w:ind w:left="3540"/>
        <w:jc w:val="both"/>
        <w:rPr>
          <w:lang w:eastAsia="de-DE"/>
        </w:rPr>
      </w:pPr>
    </w:p>
    <w:p w:rsidRPr="00116453" w:rsidR="00F619E5" w:rsidP="21A2B372" w:rsidRDefault="00746FE2" w14:paraId="744527AB" w14:textId="3E164836">
      <w:pPr>
        <w:ind w:left="0"/>
        <w:jc w:val="left"/>
      </w:pPr>
      <w:r w:rsidRPr="00116453" w:rsidR="290A2C7C">
        <w:rPr>
          <w:lang w:eastAsia="de-DE"/>
        </w:rPr>
        <w:t xml:space="preserve">As part of the </w:t>
      </w:r>
      <w:r w:rsidR="290A2C7C">
        <w:rPr/>
        <w:t xml:space="preserve">SEN6x </w:t>
      </w:r>
      <w:r w:rsidR="7FFA2821">
        <w:rPr/>
        <w:t>family</w:t>
      </w:r>
      <w:r w:rsidR="290A2C7C">
        <w:rPr/>
        <w:t>, the SEN62 offers a user</w:t>
      </w:r>
      <w:r>
        <w:noBreakHyphen/>
      </w:r>
      <w:r w:rsidR="290A2C7C">
        <w:rPr/>
        <w:t xml:space="preserve">friendly solution for </w:t>
      </w:r>
      <w:r w:rsidR="295705B1">
        <w:rPr/>
        <w:t>monitoring</w:t>
      </w:r>
      <w:r w:rsidR="295705B1">
        <w:rPr/>
        <w:t xml:space="preserve"> </w:t>
      </w:r>
      <w:r w:rsidR="290A2C7C">
        <w:rPr/>
        <w:t>particulate matter (PM)</w:t>
      </w:r>
      <w:r w:rsidR="295705B1">
        <w:rPr/>
        <w:t>,</w:t>
      </w:r>
      <w:r w:rsidR="6467A967">
        <w:rPr/>
        <w:t xml:space="preserve"> </w:t>
      </w:r>
      <w:r w:rsidR="290A2C7C">
        <w:rPr/>
        <w:t>humidity</w:t>
      </w:r>
      <w:r w:rsidR="295705B1">
        <w:rPr/>
        <w:t xml:space="preserve"> and </w:t>
      </w:r>
      <w:r w:rsidR="290A2C7C">
        <w:rPr/>
        <w:t>temperature (RH/T).</w:t>
      </w:r>
      <w:r w:rsidR="6D8EB9D5">
        <w:rPr/>
        <w:t xml:space="preserve"> </w:t>
      </w:r>
      <w:r w:rsidR="22CC03C4">
        <w:rPr/>
        <w:t>I</w:t>
      </w:r>
      <w:r w:rsidR="6D8EB9D5">
        <w:rPr/>
        <w:t>ts factory‑calibrated output and ready‑to‑use algorithms significantly reduce engineering effort and shorten time</w:t>
      </w:r>
      <w:r w:rsidR="45FDBDB7">
        <w:rPr/>
        <w:t xml:space="preserve"> </w:t>
      </w:r>
      <w:r w:rsidR="6D8EB9D5">
        <w:rPr/>
        <w:t>to</w:t>
      </w:r>
      <w:r w:rsidR="45FDBDB7">
        <w:rPr/>
        <w:t xml:space="preserve"> </w:t>
      </w:r>
      <w:r w:rsidR="6D8EB9D5">
        <w:rPr/>
        <w:t>market</w:t>
      </w:r>
      <w:r w:rsidR="4ADB715A">
        <w:rPr/>
        <w:t xml:space="preserve"> and cost</w:t>
      </w:r>
      <w:r w:rsidR="69E96CAE">
        <w:rPr/>
        <w:t>s</w:t>
      </w:r>
      <w:r w:rsidR="6D8EB9D5">
        <w:rPr/>
        <w:t>.</w:t>
      </w:r>
      <w:r w:rsidR="290A2C7C">
        <w:rPr/>
        <w:t xml:space="preserve"> </w:t>
      </w:r>
      <w:r w:rsidR="5EB6D8AB">
        <w:rPr/>
        <w:t xml:space="preserve">The integrated algorithms handle data processing, enabling device manufacturers to focus on product development, application </w:t>
      </w:r>
      <w:r w:rsidR="5EB6D8AB">
        <w:rPr/>
        <w:t>design</w:t>
      </w:r>
      <w:r w:rsidR="5EB6D8AB">
        <w:rPr/>
        <w:t xml:space="preserve"> and user experience rather than calibration or complex optimization steps</w:t>
      </w:r>
      <w:r w:rsidR="290A2C7C">
        <w:rPr/>
        <w:t>.</w:t>
      </w:r>
    </w:p>
    <w:p w:rsidR="00BA14BC" w:rsidP="00615A65" w:rsidRDefault="00746FE2" w14:paraId="5B4E3E32" w14:textId="2B49045F">
      <w:pPr>
        <w:spacing w:before="210" w:after="210" w:line="300" w:lineRule="auto"/>
        <w:jc w:val="both"/>
      </w:pPr>
      <w:r w:rsidR="1A490A64">
        <w:rPr/>
        <w:t>Typical applications for the SEN6</w:t>
      </w:r>
      <w:r w:rsidR="5F259586">
        <w:rPr/>
        <w:t>2</w:t>
      </w:r>
      <w:r w:rsidR="1A490A64">
        <w:rPr/>
        <w:t xml:space="preserve"> include air purifiers, HVAC systems, smart home </w:t>
      </w:r>
      <w:r w:rsidR="1A490A64">
        <w:rPr/>
        <w:t>devices</w:t>
      </w:r>
      <w:r w:rsidR="4BCF31CD">
        <w:rPr/>
        <w:t xml:space="preserve"> and </w:t>
      </w:r>
      <w:r w:rsidR="1A490A64">
        <w:rPr/>
        <w:t>air quality monitors</w:t>
      </w:r>
      <w:r w:rsidR="22E7EC5C">
        <w:rPr/>
        <w:t xml:space="preserve"> </w:t>
      </w:r>
      <w:r w:rsidR="1A490A64">
        <w:rPr/>
        <w:t xml:space="preserve">that </w:t>
      </w:r>
      <w:r w:rsidR="1A490A64">
        <w:rPr/>
        <w:t>require</w:t>
      </w:r>
      <w:r w:rsidR="1A490A64">
        <w:rPr/>
        <w:t xml:space="preserve"> reliable and compact environmental sensing. </w:t>
      </w:r>
      <w:r w:rsidR="5126E017">
        <w:rPr/>
        <w:t>T</w:t>
      </w:r>
      <w:r w:rsidR="5126E017">
        <w:rPr/>
        <w:t xml:space="preserve">hese use cases benefit </w:t>
      </w:r>
      <w:r w:rsidR="7FEE18D9">
        <w:rPr/>
        <w:t xml:space="preserve">in </w:t>
      </w:r>
      <w:r w:rsidR="45FDBDB7">
        <w:rPr/>
        <w:t xml:space="preserve">particular </w:t>
      </w:r>
      <w:r w:rsidR="5126E017">
        <w:rPr/>
        <w:t>from</w:t>
      </w:r>
      <w:r w:rsidR="5126E017">
        <w:rPr/>
        <w:t xml:space="preserve"> the SEN62’s ability to support </w:t>
      </w:r>
      <w:r w:rsidR="22E7EC5C">
        <w:rPr/>
        <w:t>compatibility</w:t>
      </w:r>
      <w:r w:rsidR="5126E017">
        <w:rPr/>
        <w:t xml:space="preserve"> with </w:t>
      </w:r>
      <w:r w:rsidR="22E7EC5C">
        <w:rPr/>
        <w:t xml:space="preserve">building </w:t>
      </w:r>
      <w:r w:rsidR="5126E017">
        <w:rPr/>
        <w:t>standards such as RESET® and the WELL Building Standard™, making it an excellent fit for applications where certified indoor air quality performance is essential.</w:t>
      </w:r>
    </w:p>
    <w:p w:rsidR="002A1E10" w:rsidP="00746FE2" w:rsidRDefault="34B8A6F4" w14:paraId="0B495274" w14:textId="349A6A91">
      <w:pPr>
        <w:spacing w:before="210" w:after="210" w:line="300" w:lineRule="auto"/>
        <w:jc w:val="both"/>
      </w:pPr>
      <w:r w:rsidRPr="00746FE2">
        <w:t>A key component that enables the SEN6x platform</w:t>
      </w:r>
      <w:r w:rsidR="005D71E3">
        <w:t xml:space="preserve"> </w:t>
      </w:r>
      <w:r w:rsidRPr="00746FE2">
        <w:t xml:space="preserve">is </w:t>
      </w:r>
      <w:proofErr w:type="spellStart"/>
      <w:r w:rsidRPr="00746FE2">
        <w:t>Sensirion’s</w:t>
      </w:r>
      <w:proofErr w:type="spellEnd"/>
      <w:r w:rsidRPr="00746FE2">
        <w:t xml:space="preserve"> SPS6x</w:t>
      </w:r>
      <w:r w:rsidR="00906741">
        <w:t>,</w:t>
      </w:r>
      <w:r w:rsidR="0025739B">
        <w:t xml:space="preserve"> a</w:t>
      </w:r>
      <w:r w:rsidRPr="00504CFC" w:rsidR="00417F6F">
        <w:t xml:space="preserve"> miniaturized</w:t>
      </w:r>
      <w:r w:rsidR="005D71E3">
        <w:t xml:space="preserve"> </w:t>
      </w:r>
      <w:r w:rsidRPr="00504CFC" w:rsidR="00417F6F">
        <w:t xml:space="preserve">MEMS-based </w:t>
      </w:r>
      <w:r w:rsidR="00533AB0">
        <w:t>PM</w:t>
      </w:r>
      <w:r w:rsidRPr="00504CFC" w:rsidR="00417F6F">
        <w:t xml:space="preserve"> sensing component.</w:t>
      </w:r>
      <w:r w:rsidR="00FC0F00">
        <w:t xml:space="preserve"> </w:t>
      </w:r>
      <w:r w:rsidRPr="002A1E10" w:rsidR="002A1E10">
        <w:t>Serving as the foundation of the module’s PM measurement capability, it delivers reliable performance in a compact form factor, making the integrated design of the SEN6x platform both efficient and highly scalable.</w:t>
      </w:r>
    </w:p>
    <w:p w:rsidRPr="00746FE2" w:rsidR="34B8A6F4" w:rsidP="00746FE2" w:rsidRDefault="34B8A6F4" w14:paraId="7BA643D8" w14:textId="31B7CFE8">
      <w:pPr>
        <w:spacing w:before="210" w:after="210" w:line="300" w:lineRule="auto"/>
        <w:jc w:val="both"/>
      </w:pPr>
      <w:r w:rsidRPr="00746FE2">
        <w:t xml:space="preserve">“The SEN62 serves as the entry-level product within our SEN6x platform by offering a compact and highly reliable solution for PM and RH/T measurements. Its simple </w:t>
      </w:r>
      <w:r w:rsidR="00AB23B7">
        <w:t>integration</w:t>
      </w:r>
      <w:r w:rsidRPr="00746FE2">
        <w:t xml:space="preserve"> and ready-to-use output data help accelerate product development and support businesses in delivering high-performance air quality solutions,” says David Carminati, Product Manager for </w:t>
      </w:r>
      <w:r w:rsidR="00B56C87">
        <w:t xml:space="preserve">Particulate Matter Sensors &amp; Environmental Nodes </w:t>
      </w:r>
      <w:r w:rsidRPr="00746FE2">
        <w:t>at Sensirion.</w:t>
      </w:r>
    </w:p>
    <w:p w:rsidRPr="00116453" w:rsidR="003F26D4" w:rsidP="00116453" w:rsidRDefault="00F619E5" w14:paraId="3EA5A52C" w14:textId="6BB1FBC6">
      <w:pPr>
        <w:jc w:val="both"/>
      </w:pPr>
      <w:r>
        <w:t xml:space="preserve">For more information or to obtain the SEN62, please visit </w:t>
      </w:r>
      <w:r w:rsidR="00AB23B7">
        <w:t>our</w:t>
      </w:r>
      <w:r>
        <w:t xml:space="preserve"> </w:t>
      </w:r>
      <w:hyperlink w:history="1" r:id="rId9">
        <w:r w:rsidRPr="305A4315">
          <w:rPr>
            <w:rStyle w:val="Hyperlink"/>
          </w:rPr>
          <w:t>website</w:t>
        </w:r>
      </w:hyperlink>
      <w:r>
        <w:t xml:space="preserve"> or contact your local Sensirion </w:t>
      </w:r>
      <w:hyperlink w:history="1" r:id="rId10">
        <w:r w:rsidRPr="305A4315">
          <w:rPr>
            <w:rStyle w:val="Hyperlink"/>
          </w:rPr>
          <w:t>distribution partner</w:t>
        </w:r>
      </w:hyperlink>
      <w:r>
        <w:t>.</w:t>
      </w:r>
    </w:p>
    <w:p w:rsidRPr="00A92E20" w:rsidR="00615A65" w:rsidP="21A2B372" w:rsidRDefault="00615A65" w14:paraId="59283381" w14:textId="0C283BC2">
      <w:pPr>
        <w:pStyle w:val="Normal"/>
        <w:pBdr>
          <w:bottom w:val="single" w:color="FF000000" w:sz="6" w:space="1"/>
        </w:pBdr>
        <w:rPr>
          <w:lang w:eastAsia="de-DE"/>
        </w:rPr>
      </w:pPr>
    </w:p>
    <w:p w:rsidRPr="00A92E20" w:rsidR="005B1B49" w:rsidP="005B1B49" w:rsidRDefault="005B1B49" w14:paraId="1F4294D0" w14:textId="7F466808">
      <w:pPr>
        <w:rPr>
          <w:lang w:eastAsia="de-DE"/>
        </w:rPr>
      </w:pPr>
    </w:p>
    <w:p w:rsidR="005B1B49" w:rsidP="005B1B49" w:rsidRDefault="005B1B49" w14:paraId="5853C5A7" w14:textId="7094D8A7">
      <w:pPr>
        <w:pStyle w:val="SensirionSubtitle"/>
      </w:pPr>
      <w:r>
        <w:t>About Sensirion – Experts for Environmental and Flow Sensor Solutions</w:t>
      </w:r>
    </w:p>
    <w:p w:rsidRPr="003F26D4" w:rsidR="00986756" w:rsidP="00986756" w:rsidRDefault="534C778E" w14:paraId="3425F879" w14:textId="2E4AC1C1">
      <w:pPr>
        <w:rPr>
          <w:rFonts w:ascii="Segoe UI" w:hAnsi="Segoe UI" w:eastAsia="Segoe UI" w:cs="Segoe UI"/>
        </w:rPr>
      </w:pPr>
      <w:r w:rsidRPr="5B3BC13E">
        <w:rPr>
          <w:rFonts w:ascii="Segoe UI" w:hAnsi="Segoe UI" w:eastAsia="Segoe UI" w:cs="Segoe UI"/>
          <w:color w:val="000000" w:themeColor="text1"/>
        </w:rPr>
        <w:t>Sensirion is one of the world’s leading developers and manufacturers of sensors and sensor solutions that improve efficiency, health, safety and comfort. Founded in 1998, the company now employs around 1</w:t>
      </w:r>
      <w:r w:rsidR="002D7E56">
        <w:rPr>
          <w:rFonts w:ascii="Segoe UI" w:hAnsi="Segoe UI" w:eastAsia="Segoe UI" w:cs="Segoe UI"/>
          <w:color w:val="000000" w:themeColor="text1"/>
        </w:rPr>
        <w:t>,</w:t>
      </w:r>
      <w:r w:rsidRPr="5B3BC13E">
        <w:rPr>
          <w:rFonts w:ascii="Segoe UI" w:hAnsi="Segoe UI" w:eastAsia="Segoe UI" w:cs="Segoe UI"/>
          <w:color w:val="000000" w:themeColor="text1"/>
        </w:rPr>
        <w:t xml:space="preserve">200 people at its headquarters in </w:t>
      </w:r>
      <w:proofErr w:type="spellStart"/>
      <w:r w:rsidRPr="5B3BC13E">
        <w:rPr>
          <w:rFonts w:ascii="Segoe UI" w:hAnsi="Segoe UI" w:eastAsia="Segoe UI" w:cs="Segoe UI"/>
          <w:color w:val="000000" w:themeColor="text1"/>
        </w:rPr>
        <w:t>Stäfa</w:t>
      </w:r>
      <w:proofErr w:type="spellEnd"/>
      <w:r w:rsidRPr="5B3BC13E">
        <w:rPr>
          <w:rFonts w:ascii="Segoe UI" w:hAnsi="Segoe UI" w:eastAsia="Segoe UI" w:cs="Segoe UI"/>
          <w:color w:val="000000" w:themeColor="text1"/>
        </w:rPr>
        <w:t xml:space="preserve">, Switzerland, and in numerous international subsidiaries. </w:t>
      </w:r>
      <w:r w:rsidR="00A71674">
        <w:rPr>
          <w:rFonts w:ascii="Segoe UI" w:hAnsi="Segoe UI" w:eastAsia="Segoe UI" w:cs="Segoe UI"/>
          <w:color w:val="000000" w:themeColor="text1"/>
        </w:rPr>
        <w:t>Its</w:t>
      </w:r>
      <w:r w:rsidRPr="5B3BC13E" w:rsidR="00A71674">
        <w:rPr>
          <w:rFonts w:ascii="Segoe UI" w:hAnsi="Segoe UI" w:eastAsia="Segoe UI" w:cs="Segoe UI"/>
          <w:color w:val="000000" w:themeColor="text1"/>
        </w:rPr>
        <w:t xml:space="preserve"> </w:t>
      </w:r>
      <w:r w:rsidRPr="5B3BC13E">
        <w:rPr>
          <w:rFonts w:ascii="Segoe UI" w:hAnsi="Segoe UI" w:eastAsia="Segoe UI" w:cs="Segoe UI"/>
          <w:color w:val="000000" w:themeColor="text1"/>
        </w:rPr>
        <w:t xml:space="preserve">product range includes environmental sensors for the precise and reliable measurement of humidity and temperature, volatile organic compounds (VOC), nitrogen oxides (NOx), carbon dioxide (CO₂), formaldehyde and particulate matter (PM2.5), as well as gas and liquid flow sensors, differential pressure sensors and gas leakage sensors. These solutions are used across a wide range of applications. As a pioneer in innovation, Sensirion develops solutions for the specific needs of customers and partners from the automotive, industrial, medical, HVAC and consumer electronics markets, as well as high-quality products for cost-efficient mass production. More information and current key figures are available at </w:t>
      </w:r>
      <w:hyperlink r:id="rId11">
        <w:r w:rsidRPr="5B3BC13E">
          <w:rPr>
            <w:rStyle w:val="Hyperlink"/>
            <w:rFonts w:ascii="Segoe UI" w:hAnsi="Segoe UI" w:eastAsia="Segoe UI" w:cs="Segoe UI"/>
          </w:rPr>
          <w:t>www.sensirion.com</w:t>
        </w:r>
      </w:hyperlink>
      <w:r w:rsidR="003F26D4">
        <w:rPr>
          <w:rFonts w:ascii="Segoe UI" w:hAnsi="Segoe UI" w:eastAsia="Segoe UI" w:cs="Segoe UI"/>
          <w:color w:val="000000" w:themeColor="text1"/>
        </w:rPr>
        <w:t>.</w:t>
      </w:r>
    </w:p>
    <w:p w:rsidR="00986756" w:rsidP="00986756" w:rsidRDefault="00986756" w14:paraId="0EFD4184" w14:textId="77777777"/>
    <w:sectPr w:rsidR="00986756" w:rsidSect="00C5040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orient="portrait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253A" w:rsidP="0054380F" w:rsidRDefault="006A253A" w14:paraId="15322816" w14:textId="77777777">
      <w:pPr>
        <w:spacing w:line="240" w:lineRule="auto"/>
      </w:pPr>
      <w:r>
        <w:separator/>
      </w:r>
    </w:p>
  </w:endnote>
  <w:endnote w:type="continuationSeparator" w:id="0">
    <w:p w:rsidR="006A253A" w:rsidP="0054380F" w:rsidRDefault="006A253A" w14:paraId="53307E1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72AC0" w:rsidR="00D44150" w:rsidP="000B2869" w:rsidRDefault="00D91EAB" w14:paraId="0A4E60E9" w14:textId="77777777">
    <w:pPr>
      <w:pStyle w:val="Footer"/>
    </w:pPr>
    <w:r w:rsidRPr="00372AC0">
      <w:rPr>
        <w:noProof/>
      </w:rPr>
      <w:t>© Copyright Sensirion AG</w:t>
    </w:r>
    <w:r w:rsidRPr="00372AC0">
      <w:tab/>
    </w:r>
    <w:r w:rsidRPr="00372AC0" w:rsidR="00B730FE">
      <w:fldChar w:fldCharType="begin"/>
    </w:r>
    <w:r w:rsidRPr="00372AC0">
      <w:instrText xml:space="preserve"> PAGE </w:instrText>
    </w:r>
    <w:r w:rsidRPr="00372AC0" w:rsidR="00B730FE">
      <w:fldChar w:fldCharType="separate"/>
    </w:r>
    <w:r w:rsidRPr="00372AC0" w:rsidR="00A5624A">
      <w:t>1</w:t>
    </w:r>
    <w:r w:rsidRPr="00372AC0" w:rsidR="00B730FE">
      <w:fldChar w:fldCharType="end"/>
    </w:r>
    <w:r w:rsidRPr="00372AC0">
      <w:t>/</w:t>
    </w:r>
    <w:r w:rsidRPr="00372AC0" w:rsidR="00B730FE">
      <w:fldChar w:fldCharType="begin"/>
    </w:r>
    <w:r w:rsidRPr="00372AC0">
      <w:instrText xml:space="preserve"> NUMPAGES </w:instrText>
    </w:r>
    <w:r w:rsidRPr="00372AC0" w:rsidR="00B730FE">
      <w:fldChar w:fldCharType="separate"/>
    </w:r>
    <w:r w:rsidRPr="00372AC0" w:rsidR="00A5624A">
      <w:t>1</w:t>
    </w:r>
    <w:r w:rsidRPr="00372AC0" w:rsidR="00B730FE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4150" w:rsidRDefault="00D44150" w14:paraId="6EAB93D3" w14:textId="77777777">
    <w:pPr>
      <w:pStyle w:val="Footer"/>
    </w:pPr>
    <w:r w:rsidRPr="00E94DCD">
      <w:tab/>
    </w:r>
    <w:r w:rsidRPr="00E94DCD">
      <w:tab/>
    </w:r>
    <w:proofErr w:type="spellStart"/>
    <w:r w:rsidRPr="00E94DCD">
      <w:t>Seite</w:t>
    </w:r>
    <w:proofErr w:type="spellEnd"/>
    <w:r w:rsidRPr="00E94DCD">
      <w:t xml:space="preserve">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rPr>
        <w:noProof/>
      </w:rPr>
      <w:t>1</w:t>
    </w:r>
    <w:r w:rsidR="00B730FE">
      <w:rPr>
        <w:noProof/>
      </w:rPr>
      <w:fldChar w:fldCharType="end"/>
    </w:r>
    <w:r w:rsidRPr="00E94DCD">
      <w:t xml:space="preserve"> / </w:t>
    </w:r>
    <w:r>
      <w:fldChar w:fldCharType="begin"/>
    </w:r>
    <w:r>
      <w:instrText>NUMPAGES   \* MERGEFORMAT</w:instrText>
    </w:r>
    <w:r>
      <w:fldChar w:fldCharType="separate"/>
    </w:r>
    <w:r w:rsidR="001156D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253A" w:rsidP="0054380F" w:rsidRDefault="006A253A" w14:paraId="54AB85F5" w14:textId="77777777">
      <w:pPr>
        <w:spacing w:line="240" w:lineRule="auto"/>
      </w:pPr>
      <w:r>
        <w:separator/>
      </w:r>
    </w:p>
  </w:footnote>
  <w:footnote w:type="continuationSeparator" w:id="0">
    <w:p w:rsidR="006A253A" w:rsidP="0054380F" w:rsidRDefault="006A253A" w14:paraId="2F7C00D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4150" w:rsidRDefault="00661641" w14:paraId="75328A28" w14:textId="77777777">
    <w:pPr>
      <w:pStyle w:val="Header"/>
    </w:pPr>
    <w:r>
      <w:rPr>
        <w:noProof/>
      </w:rPr>
      <w:drawing>
        <wp:anchor distT="0" distB="0" distL="0" distR="0" simplePos="0" relativeHeight="251658240" behindDoc="1" locked="1" layoutInCell="1" allowOverlap="1" wp14:anchorId="7C0A9420" wp14:editId="3CE18CFB">
          <wp:simplePos x="0" y="0"/>
          <wp:positionH relativeFrom="page">
            <wp:posOffset>4716780</wp:posOffset>
          </wp:positionH>
          <wp:positionV relativeFrom="page">
            <wp:posOffset>414020</wp:posOffset>
          </wp:positionV>
          <wp:extent cx="1987200" cy="270000"/>
          <wp:effectExtent l="0" t="0" r="0" b="0"/>
          <wp:wrapNone/>
          <wp:docPr id="21136579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65794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7200" cy="2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4150" w:rsidRDefault="00EE0CB5" w14:paraId="22A84C83" w14:textId="77777777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3EA4EAE" wp14:editId="3ED9265A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4FE6"/>
    <w:multiLevelType w:val="multilevel"/>
    <w:tmpl w:val="0E88ED38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hint="default" w:ascii="Symbol" w:hAnsi="Symbol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hint="default" w:ascii="Symbol" w:hAnsi="Symbol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hint="default" w:ascii="Wingdings" w:hAnsi="Wingdings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hint="default" w:ascii="Wingdings" w:hAnsi="Wingdings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hint="default" w:ascii="Wingdings" w:hAnsi="Wingdings"/>
      </w:rPr>
    </w:lvl>
  </w:abstractNum>
  <w:abstractNum w:abstractNumId="1" w15:restartNumberingAfterBreak="0">
    <w:nsid w:val="098326B3"/>
    <w:multiLevelType w:val="multilevel"/>
    <w:tmpl w:val="A18A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C6D6BD3"/>
    <w:multiLevelType w:val="multilevel"/>
    <w:tmpl w:val="0AACE874"/>
    <w:numStyleLink w:val="SensirionList123Heading"/>
  </w:abstractNum>
  <w:abstractNum w:abstractNumId="3" w15:restartNumberingAfterBreak="0">
    <w:nsid w:val="21190147"/>
    <w:multiLevelType w:val="multilevel"/>
    <w:tmpl w:val="CCE27B6A"/>
    <w:styleLink w:val="SensirionList123Numbering"/>
    <w:lvl w:ilvl="0">
      <w:start w:val="1"/>
      <w:numFmt w:val="decimal"/>
      <w:pStyle w:val="Numbering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241C741D"/>
    <w:multiLevelType w:val="multilevel"/>
    <w:tmpl w:val="A85A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6A12FB4"/>
    <w:multiLevelType w:val="multilevel"/>
    <w:tmpl w:val="33161A2E"/>
    <w:styleLink w:val="SensirionListealt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hint="default"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hint="default" w:ascii="Wingdings" w:hAnsi="Wingdings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6" w15:restartNumberingAfterBreak="0">
    <w:nsid w:val="31FD6366"/>
    <w:multiLevelType w:val="multilevel"/>
    <w:tmpl w:val="0AACE874"/>
    <w:styleLink w:val="SensirionList123Heading"/>
    <w:lvl w:ilvl="0">
      <w:start w:val="1"/>
      <w:numFmt w:val="decimal"/>
      <w:pStyle w:val="Heading1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6342B05"/>
    <w:multiLevelType w:val="multilevel"/>
    <w:tmpl w:val="1D46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3E394681"/>
    <w:multiLevelType w:val="multilevel"/>
    <w:tmpl w:val="0AACE874"/>
    <w:numStyleLink w:val="SensirionList123Heading"/>
  </w:abstractNum>
  <w:abstractNum w:abstractNumId="9" w15:restartNumberingAfterBreak="0">
    <w:nsid w:val="3FF729E4"/>
    <w:multiLevelType w:val="multilevel"/>
    <w:tmpl w:val="B05C3790"/>
    <w:lvl w:ilvl="0">
      <w:start w:val="1"/>
      <w:numFmt w:val="decimal"/>
      <w:lvlText w:val="%1"/>
      <w:lvlJc w:val="left"/>
      <w:pPr>
        <w:ind w:left="360" w:hanging="360"/>
      </w:pPr>
      <w:rPr>
        <w:rFonts w:hint="default" w:ascii="Arial Narrow" w:hAnsi="Arial Narrow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10" w15:restartNumberingAfterBreak="0">
    <w:nsid w:val="43B9407E"/>
    <w:multiLevelType w:val="multilevel"/>
    <w:tmpl w:val="BECA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B67712E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</w:abstractNum>
  <w:abstractNum w:abstractNumId="12" w15:restartNumberingAfterBreak="0">
    <w:nsid w:val="4D700547"/>
    <w:multiLevelType w:val="multilevel"/>
    <w:tmpl w:val="3E90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EAA10B1"/>
    <w:multiLevelType w:val="multilevel"/>
    <w:tmpl w:val="D00274A4"/>
    <w:styleLink w:val="SensirionListBulletPoints"/>
    <w:lvl w:ilvl="0">
      <w:start w:val="1"/>
      <w:numFmt w:val="bullet"/>
      <w:pStyle w:val="BulletpointsLevel1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pStyle w:val="BulletpointsLevel2"/>
      <w:lvlText w:val=""/>
      <w:lvlJc w:val="left"/>
      <w:pPr>
        <w:ind w:left="454" w:hanging="227"/>
      </w:pPr>
      <w:rPr>
        <w:rFonts w:hint="default" w:ascii="Symbol" w:hAnsi="Symbol"/>
      </w:rPr>
    </w:lvl>
    <w:lvl w:ilvl="2">
      <w:start w:val="1"/>
      <w:numFmt w:val="none"/>
      <w:pStyle w:val="noBulletpoin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pStyle w:val="ListBullet"/>
      <w:lvlText w:val=""/>
      <w:lvlJc w:val="left"/>
      <w:pPr>
        <w:ind w:left="227" w:hanging="227"/>
      </w:pPr>
      <w:rPr>
        <w:rFonts w:hint="default" w:ascii="Symbol" w:hAnsi="Symbol"/>
      </w:rPr>
    </w:lvl>
    <w:lvl w:ilvl="4">
      <w:start w:val="1"/>
      <w:numFmt w:val="bullet"/>
      <w:pStyle w:val="ListBullet2"/>
      <w:lvlText w:val=""/>
      <w:lvlJc w:val="left"/>
      <w:pPr>
        <w:ind w:left="454" w:hanging="227"/>
      </w:pPr>
      <w:rPr>
        <w:rFonts w:hint="default" w:ascii="Symbol" w:hAnsi="Symbol"/>
      </w:rPr>
    </w:lvl>
    <w:lvl w:ilvl="5">
      <w:start w:val="1"/>
      <w:numFmt w:val="bullet"/>
      <w:pStyle w:val="ListBullet3"/>
      <w:lvlText w:val=""/>
      <w:lvlJc w:val="left"/>
      <w:pPr>
        <w:ind w:left="680" w:hanging="226"/>
      </w:pPr>
      <w:rPr>
        <w:rFonts w:hint="default" w:ascii="Symbol" w:hAnsi="Symbol"/>
      </w:rPr>
    </w:lvl>
    <w:lvl w:ilvl="6">
      <w:start w:val="1"/>
      <w:numFmt w:val="bullet"/>
      <w:pStyle w:val="ListBullet4"/>
      <w:lvlText w:val=""/>
      <w:lvlJc w:val="left"/>
      <w:pPr>
        <w:ind w:left="907" w:hanging="227"/>
      </w:pPr>
      <w:rPr>
        <w:rFonts w:hint="default" w:ascii="Symbol" w:hAnsi="Symbol"/>
      </w:rPr>
    </w:lvl>
    <w:lvl w:ilvl="7">
      <w:start w:val="1"/>
      <w:numFmt w:val="bullet"/>
      <w:pStyle w:val="ListBullet5"/>
      <w:lvlText w:val=""/>
      <w:lvlJc w:val="left"/>
      <w:pPr>
        <w:ind w:left="1134" w:hanging="227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ind w:left="1361" w:hanging="227"/>
      </w:pPr>
      <w:rPr>
        <w:rFonts w:hint="default" w:ascii="Symbol" w:hAnsi="Symbol"/>
      </w:rPr>
    </w:lvl>
  </w:abstractNum>
  <w:abstractNum w:abstractNumId="14" w15:restartNumberingAfterBreak="0">
    <w:nsid w:val="65E6631A"/>
    <w:multiLevelType w:val="multilevel"/>
    <w:tmpl w:val="5C10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6B1D7B0A"/>
    <w:multiLevelType w:val="multilevel"/>
    <w:tmpl w:val="E838465A"/>
    <w:styleLink w:val="SensirionListabcLettering"/>
    <w:lvl w:ilvl="0">
      <w:start w:val="1"/>
      <w:numFmt w:val="lowerLetter"/>
      <w:pStyle w:val="Lettering"/>
      <w:lvlText w:val="%1)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6" w15:restartNumberingAfterBreak="0">
    <w:nsid w:val="79353A7C"/>
    <w:multiLevelType w:val="multilevel"/>
    <w:tmpl w:val="C9A4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7B5F3D46"/>
    <w:multiLevelType w:val="multilevel"/>
    <w:tmpl w:val="B7AA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00341035">
    <w:abstractNumId w:val="0"/>
  </w:num>
  <w:num w:numId="2" w16cid:durableId="1465200474">
    <w:abstractNumId w:val="11"/>
  </w:num>
  <w:num w:numId="3" w16cid:durableId="1578400284">
    <w:abstractNumId w:val="5"/>
  </w:num>
  <w:num w:numId="4" w16cid:durableId="1091857931">
    <w:abstractNumId w:val="9"/>
  </w:num>
  <w:num w:numId="5" w16cid:durableId="996156133">
    <w:abstractNumId w:val="13"/>
  </w:num>
  <w:num w:numId="6" w16cid:durableId="15458258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0872374">
    <w:abstractNumId w:val="6"/>
  </w:num>
  <w:num w:numId="8" w16cid:durableId="1556505634">
    <w:abstractNumId w:val="8"/>
  </w:num>
  <w:num w:numId="9" w16cid:durableId="425276189">
    <w:abstractNumId w:val="2"/>
  </w:num>
  <w:num w:numId="10" w16cid:durableId="1797064802">
    <w:abstractNumId w:val="3"/>
  </w:num>
  <w:num w:numId="11" w16cid:durableId="941187127">
    <w:abstractNumId w:val="15"/>
  </w:num>
  <w:num w:numId="12" w16cid:durableId="537862058">
    <w:abstractNumId w:val="1"/>
  </w:num>
  <w:num w:numId="13" w16cid:durableId="815073376">
    <w:abstractNumId w:val="16"/>
  </w:num>
  <w:num w:numId="14" w16cid:durableId="1026178654">
    <w:abstractNumId w:val="17"/>
  </w:num>
  <w:num w:numId="15" w16cid:durableId="1601527835">
    <w:abstractNumId w:val="14"/>
  </w:num>
  <w:num w:numId="16" w16cid:durableId="285237115">
    <w:abstractNumId w:val="7"/>
  </w:num>
  <w:num w:numId="17" w16cid:durableId="1387682162">
    <w:abstractNumId w:val="12"/>
  </w:num>
  <w:num w:numId="18" w16cid:durableId="1358920974">
    <w:abstractNumId w:val="4"/>
  </w:num>
  <w:num w:numId="19" w16cid:durableId="2081631004">
    <w:abstractNumId w:val="10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847"/>
    <w:rsid w:val="00000E03"/>
    <w:rsid w:val="00001D48"/>
    <w:rsid w:val="00005E23"/>
    <w:rsid w:val="00023E36"/>
    <w:rsid w:val="0002682B"/>
    <w:rsid w:val="000406CD"/>
    <w:rsid w:val="00061F56"/>
    <w:rsid w:val="000700BD"/>
    <w:rsid w:val="000718AC"/>
    <w:rsid w:val="000730B7"/>
    <w:rsid w:val="0008719B"/>
    <w:rsid w:val="000903CE"/>
    <w:rsid w:val="00096D1E"/>
    <w:rsid w:val="000B2869"/>
    <w:rsid w:val="000B300D"/>
    <w:rsid w:val="000C04BA"/>
    <w:rsid w:val="000D523B"/>
    <w:rsid w:val="000D7F02"/>
    <w:rsid w:val="000E434B"/>
    <w:rsid w:val="000F24EC"/>
    <w:rsid w:val="000F4CED"/>
    <w:rsid w:val="00101A5E"/>
    <w:rsid w:val="00102207"/>
    <w:rsid w:val="00112447"/>
    <w:rsid w:val="00114D80"/>
    <w:rsid w:val="001156D3"/>
    <w:rsid w:val="00116453"/>
    <w:rsid w:val="00124F40"/>
    <w:rsid w:val="001326B8"/>
    <w:rsid w:val="00151C8E"/>
    <w:rsid w:val="0016581D"/>
    <w:rsid w:val="001665A6"/>
    <w:rsid w:val="0017328A"/>
    <w:rsid w:val="0018044B"/>
    <w:rsid w:val="00183239"/>
    <w:rsid w:val="001A2179"/>
    <w:rsid w:val="001B29A6"/>
    <w:rsid w:val="001B3C47"/>
    <w:rsid w:val="001C4B1F"/>
    <w:rsid w:val="001E115C"/>
    <w:rsid w:val="001E1FA7"/>
    <w:rsid w:val="001E282A"/>
    <w:rsid w:val="001E6D3A"/>
    <w:rsid w:val="00202F57"/>
    <w:rsid w:val="002041BF"/>
    <w:rsid w:val="00207EA1"/>
    <w:rsid w:val="00227D72"/>
    <w:rsid w:val="00246D5A"/>
    <w:rsid w:val="002519B2"/>
    <w:rsid w:val="0025739B"/>
    <w:rsid w:val="002710D7"/>
    <w:rsid w:val="002779AB"/>
    <w:rsid w:val="00285EB8"/>
    <w:rsid w:val="00296B01"/>
    <w:rsid w:val="002A1E10"/>
    <w:rsid w:val="002D7E56"/>
    <w:rsid w:val="002F53B8"/>
    <w:rsid w:val="002F75B2"/>
    <w:rsid w:val="003067D8"/>
    <w:rsid w:val="0032048D"/>
    <w:rsid w:val="00321292"/>
    <w:rsid w:val="0033350F"/>
    <w:rsid w:val="00350CD8"/>
    <w:rsid w:val="00351AA0"/>
    <w:rsid w:val="00365915"/>
    <w:rsid w:val="00372788"/>
    <w:rsid w:val="00372AC0"/>
    <w:rsid w:val="00374196"/>
    <w:rsid w:val="003826FA"/>
    <w:rsid w:val="00384A16"/>
    <w:rsid w:val="00387466"/>
    <w:rsid w:val="003876FF"/>
    <w:rsid w:val="003931C4"/>
    <w:rsid w:val="00395AB5"/>
    <w:rsid w:val="003D797A"/>
    <w:rsid w:val="003E3705"/>
    <w:rsid w:val="003F26D4"/>
    <w:rsid w:val="003F613D"/>
    <w:rsid w:val="004103E3"/>
    <w:rsid w:val="00411C9F"/>
    <w:rsid w:val="00417F6F"/>
    <w:rsid w:val="0042027F"/>
    <w:rsid w:val="00442153"/>
    <w:rsid w:val="004448D2"/>
    <w:rsid w:val="00450D35"/>
    <w:rsid w:val="00464FD5"/>
    <w:rsid w:val="0047464B"/>
    <w:rsid w:val="004754CC"/>
    <w:rsid w:val="004769A1"/>
    <w:rsid w:val="00483F63"/>
    <w:rsid w:val="0049037D"/>
    <w:rsid w:val="0049233D"/>
    <w:rsid w:val="00492A55"/>
    <w:rsid w:val="00495788"/>
    <w:rsid w:val="004B6F57"/>
    <w:rsid w:val="004C0541"/>
    <w:rsid w:val="004D1E9E"/>
    <w:rsid w:val="004E47E0"/>
    <w:rsid w:val="005007DF"/>
    <w:rsid w:val="00504CFC"/>
    <w:rsid w:val="00514F3A"/>
    <w:rsid w:val="00527B1E"/>
    <w:rsid w:val="00533AB0"/>
    <w:rsid w:val="0054380F"/>
    <w:rsid w:val="005729D8"/>
    <w:rsid w:val="00584D18"/>
    <w:rsid w:val="00592B46"/>
    <w:rsid w:val="005B1B49"/>
    <w:rsid w:val="005C0352"/>
    <w:rsid w:val="005C35E2"/>
    <w:rsid w:val="005C59BE"/>
    <w:rsid w:val="005C75D8"/>
    <w:rsid w:val="005D60EE"/>
    <w:rsid w:val="005D71E3"/>
    <w:rsid w:val="005E236A"/>
    <w:rsid w:val="005E7D33"/>
    <w:rsid w:val="005E7EB2"/>
    <w:rsid w:val="005F18D9"/>
    <w:rsid w:val="005F1957"/>
    <w:rsid w:val="005F24E3"/>
    <w:rsid w:val="005F69D3"/>
    <w:rsid w:val="00606A75"/>
    <w:rsid w:val="00615A65"/>
    <w:rsid w:val="006218A8"/>
    <w:rsid w:val="006227DA"/>
    <w:rsid w:val="006345C9"/>
    <w:rsid w:val="00661641"/>
    <w:rsid w:val="00665C7D"/>
    <w:rsid w:val="006A0DC4"/>
    <w:rsid w:val="006A253A"/>
    <w:rsid w:val="006A5423"/>
    <w:rsid w:val="006B18BE"/>
    <w:rsid w:val="006B6B7B"/>
    <w:rsid w:val="006C4645"/>
    <w:rsid w:val="006C7691"/>
    <w:rsid w:val="006D30A0"/>
    <w:rsid w:val="006E5C06"/>
    <w:rsid w:val="006F1F48"/>
    <w:rsid w:val="006F7E7B"/>
    <w:rsid w:val="00703360"/>
    <w:rsid w:val="00705606"/>
    <w:rsid w:val="00716F33"/>
    <w:rsid w:val="00725B00"/>
    <w:rsid w:val="007267E3"/>
    <w:rsid w:val="00731020"/>
    <w:rsid w:val="00746FE2"/>
    <w:rsid w:val="00762388"/>
    <w:rsid w:val="00775F35"/>
    <w:rsid w:val="00782DB4"/>
    <w:rsid w:val="007B0CAA"/>
    <w:rsid w:val="007E0F3C"/>
    <w:rsid w:val="007E3E53"/>
    <w:rsid w:val="00811948"/>
    <w:rsid w:val="00817E4E"/>
    <w:rsid w:val="00836A08"/>
    <w:rsid w:val="00840AA5"/>
    <w:rsid w:val="00852491"/>
    <w:rsid w:val="008531DD"/>
    <w:rsid w:val="008664AE"/>
    <w:rsid w:val="00871EFA"/>
    <w:rsid w:val="008A25D3"/>
    <w:rsid w:val="008B53C5"/>
    <w:rsid w:val="008B7B52"/>
    <w:rsid w:val="008C3807"/>
    <w:rsid w:val="008C59CA"/>
    <w:rsid w:val="008D6C58"/>
    <w:rsid w:val="00906741"/>
    <w:rsid w:val="00923720"/>
    <w:rsid w:val="009249ED"/>
    <w:rsid w:val="00935B8D"/>
    <w:rsid w:val="00936C4F"/>
    <w:rsid w:val="00943B2C"/>
    <w:rsid w:val="00943B32"/>
    <w:rsid w:val="00952985"/>
    <w:rsid w:val="0095533A"/>
    <w:rsid w:val="009566EC"/>
    <w:rsid w:val="00957A44"/>
    <w:rsid w:val="00964ADD"/>
    <w:rsid w:val="00983745"/>
    <w:rsid w:val="0098564E"/>
    <w:rsid w:val="00986756"/>
    <w:rsid w:val="00994479"/>
    <w:rsid w:val="00995FFE"/>
    <w:rsid w:val="009A3FF6"/>
    <w:rsid w:val="009A70A0"/>
    <w:rsid w:val="009C0788"/>
    <w:rsid w:val="009C43FC"/>
    <w:rsid w:val="009C560A"/>
    <w:rsid w:val="009D2A77"/>
    <w:rsid w:val="009E32A0"/>
    <w:rsid w:val="009E5A33"/>
    <w:rsid w:val="009E7394"/>
    <w:rsid w:val="00A10CC5"/>
    <w:rsid w:val="00A131A9"/>
    <w:rsid w:val="00A22037"/>
    <w:rsid w:val="00A27B16"/>
    <w:rsid w:val="00A32015"/>
    <w:rsid w:val="00A325E4"/>
    <w:rsid w:val="00A353C1"/>
    <w:rsid w:val="00A42020"/>
    <w:rsid w:val="00A55F0E"/>
    <w:rsid w:val="00A5624A"/>
    <w:rsid w:val="00A61C6C"/>
    <w:rsid w:val="00A71276"/>
    <w:rsid w:val="00A71674"/>
    <w:rsid w:val="00A722D2"/>
    <w:rsid w:val="00A8202C"/>
    <w:rsid w:val="00A9042D"/>
    <w:rsid w:val="00A92E20"/>
    <w:rsid w:val="00A93798"/>
    <w:rsid w:val="00AA1BFE"/>
    <w:rsid w:val="00AA5F6F"/>
    <w:rsid w:val="00AB23B7"/>
    <w:rsid w:val="00AB3B3B"/>
    <w:rsid w:val="00AB465E"/>
    <w:rsid w:val="00AD470F"/>
    <w:rsid w:val="00AE1C40"/>
    <w:rsid w:val="00AE1D8A"/>
    <w:rsid w:val="00AE3BE7"/>
    <w:rsid w:val="00AE75EF"/>
    <w:rsid w:val="00AE77FB"/>
    <w:rsid w:val="00AF3525"/>
    <w:rsid w:val="00AF587E"/>
    <w:rsid w:val="00B0608A"/>
    <w:rsid w:val="00B256CB"/>
    <w:rsid w:val="00B36BAD"/>
    <w:rsid w:val="00B43297"/>
    <w:rsid w:val="00B54145"/>
    <w:rsid w:val="00B56C87"/>
    <w:rsid w:val="00B71553"/>
    <w:rsid w:val="00B730FE"/>
    <w:rsid w:val="00B757BD"/>
    <w:rsid w:val="00BA14BC"/>
    <w:rsid w:val="00BA1FBA"/>
    <w:rsid w:val="00BA76C0"/>
    <w:rsid w:val="00BB1618"/>
    <w:rsid w:val="00BB4483"/>
    <w:rsid w:val="00BC46E1"/>
    <w:rsid w:val="00BD1648"/>
    <w:rsid w:val="00BE3A2C"/>
    <w:rsid w:val="00C159CC"/>
    <w:rsid w:val="00C22BAE"/>
    <w:rsid w:val="00C3756F"/>
    <w:rsid w:val="00C40519"/>
    <w:rsid w:val="00C46D0C"/>
    <w:rsid w:val="00C5040D"/>
    <w:rsid w:val="00C60A7B"/>
    <w:rsid w:val="00C64DF0"/>
    <w:rsid w:val="00C64E26"/>
    <w:rsid w:val="00C66ABB"/>
    <w:rsid w:val="00C95B9B"/>
    <w:rsid w:val="00CB33A6"/>
    <w:rsid w:val="00CE5AE7"/>
    <w:rsid w:val="00CF08FD"/>
    <w:rsid w:val="00CF1D51"/>
    <w:rsid w:val="00CF2C8E"/>
    <w:rsid w:val="00CF7230"/>
    <w:rsid w:val="00D06FA3"/>
    <w:rsid w:val="00D0782A"/>
    <w:rsid w:val="00D21BB2"/>
    <w:rsid w:val="00D405CE"/>
    <w:rsid w:val="00D44150"/>
    <w:rsid w:val="00D502C0"/>
    <w:rsid w:val="00D5508C"/>
    <w:rsid w:val="00D568A7"/>
    <w:rsid w:val="00D601C3"/>
    <w:rsid w:val="00D82AB4"/>
    <w:rsid w:val="00D83E55"/>
    <w:rsid w:val="00D907BF"/>
    <w:rsid w:val="00D91EAB"/>
    <w:rsid w:val="00D975FF"/>
    <w:rsid w:val="00D9787E"/>
    <w:rsid w:val="00DA5EFF"/>
    <w:rsid w:val="00DB58D5"/>
    <w:rsid w:val="00DC42D1"/>
    <w:rsid w:val="00DC7647"/>
    <w:rsid w:val="00DD22C0"/>
    <w:rsid w:val="00DD5019"/>
    <w:rsid w:val="00DF5E0E"/>
    <w:rsid w:val="00E01F44"/>
    <w:rsid w:val="00E20478"/>
    <w:rsid w:val="00E32DB8"/>
    <w:rsid w:val="00E37B1D"/>
    <w:rsid w:val="00E50847"/>
    <w:rsid w:val="00E67B03"/>
    <w:rsid w:val="00E71FC5"/>
    <w:rsid w:val="00E76C33"/>
    <w:rsid w:val="00E94DCD"/>
    <w:rsid w:val="00EA3DBE"/>
    <w:rsid w:val="00EA3E27"/>
    <w:rsid w:val="00EA7E28"/>
    <w:rsid w:val="00EC096E"/>
    <w:rsid w:val="00ED119D"/>
    <w:rsid w:val="00ED1987"/>
    <w:rsid w:val="00ED2009"/>
    <w:rsid w:val="00ED2F07"/>
    <w:rsid w:val="00EE0CB5"/>
    <w:rsid w:val="00EE28D7"/>
    <w:rsid w:val="00EF5079"/>
    <w:rsid w:val="00F03E27"/>
    <w:rsid w:val="00F07475"/>
    <w:rsid w:val="00F07DDC"/>
    <w:rsid w:val="00F108E3"/>
    <w:rsid w:val="00F10C43"/>
    <w:rsid w:val="00F2000D"/>
    <w:rsid w:val="00F22AED"/>
    <w:rsid w:val="00F252B3"/>
    <w:rsid w:val="00F26EA1"/>
    <w:rsid w:val="00F3732F"/>
    <w:rsid w:val="00F4039C"/>
    <w:rsid w:val="00F40AFE"/>
    <w:rsid w:val="00F5617D"/>
    <w:rsid w:val="00F619E5"/>
    <w:rsid w:val="00F61D4C"/>
    <w:rsid w:val="00F72A93"/>
    <w:rsid w:val="00F76CF5"/>
    <w:rsid w:val="00F80C44"/>
    <w:rsid w:val="00F94191"/>
    <w:rsid w:val="00F94915"/>
    <w:rsid w:val="00FA2046"/>
    <w:rsid w:val="00FA463A"/>
    <w:rsid w:val="00FA7C55"/>
    <w:rsid w:val="00FB08E7"/>
    <w:rsid w:val="00FC0F00"/>
    <w:rsid w:val="00FE1331"/>
    <w:rsid w:val="00FE7FCB"/>
    <w:rsid w:val="00FF1FC1"/>
    <w:rsid w:val="048C11FA"/>
    <w:rsid w:val="0C654C8C"/>
    <w:rsid w:val="10B5E3F6"/>
    <w:rsid w:val="1159BC77"/>
    <w:rsid w:val="12FB8994"/>
    <w:rsid w:val="15BA66C0"/>
    <w:rsid w:val="1A490A64"/>
    <w:rsid w:val="21A2B372"/>
    <w:rsid w:val="22CC03C4"/>
    <w:rsid w:val="22E7EC5C"/>
    <w:rsid w:val="2704E9FF"/>
    <w:rsid w:val="290A2C7C"/>
    <w:rsid w:val="295705B1"/>
    <w:rsid w:val="2C9EA05F"/>
    <w:rsid w:val="301BA73A"/>
    <w:rsid w:val="305A4315"/>
    <w:rsid w:val="323CB2BB"/>
    <w:rsid w:val="34B8A6F4"/>
    <w:rsid w:val="34D22A6A"/>
    <w:rsid w:val="3C19FC55"/>
    <w:rsid w:val="406AE3FE"/>
    <w:rsid w:val="45A46580"/>
    <w:rsid w:val="45FDBDB7"/>
    <w:rsid w:val="4ADB715A"/>
    <w:rsid w:val="4BCF31CD"/>
    <w:rsid w:val="5093E979"/>
    <w:rsid w:val="5126E017"/>
    <w:rsid w:val="534C778E"/>
    <w:rsid w:val="58A390B1"/>
    <w:rsid w:val="5B3BC13E"/>
    <w:rsid w:val="5B693EAA"/>
    <w:rsid w:val="5DAC81D0"/>
    <w:rsid w:val="5EB6D8AB"/>
    <w:rsid w:val="5F259586"/>
    <w:rsid w:val="603ADA91"/>
    <w:rsid w:val="6467A967"/>
    <w:rsid w:val="69E96CAE"/>
    <w:rsid w:val="6D8EB9D5"/>
    <w:rsid w:val="6E3A8EA3"/>
    <w:rsid w:val="7068DA48"/>
    <w:rsid w:val="76D4BCD6"/>
    <w:rsid w:val="7FEE18D9"/>
    <w:rsid w:val="7FFA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455EF5"/>
  <w15:chartTrackingRefBased/>
  <w15:docId w15:val="{6F1A8541-6D79-4166-ADD5-36619F76E1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cs="Times New Roman" w:asciiTheme="minorHAnsi" w:hAnsiTheme="minorHAnsi" w:eastAsiaTheme="minorEastAsia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uiPriority="19" w:semiHidden="1" w:unhideWhenUsed="1" w:qFormat="1"/>
    <w:lsdException w:name="heading 5" w:uiPriority="19" w:semiHidden="1" w:unhideWhenUsed="1" w:qFormat="1"/>
    <w:lsdException w:name="heading 6" w:uiPriority="19" w:semiHidden="1" w:unhideWhenUsed="1" w:qFormat="1"/>
    <w:lsdException w:name="heading 7" w:uiPriority="19" w:semiHidden="1" w:unhideWhenUsed="1" w:qFormat="1"/>
    <w:lsdException w:name="heading 8" w:uiPriority="19" w:semiHidden="1" w:unhideWhenUsed="1" w:qFormat="1"/>
    <w:lsdException w:name="heading 9" w:uiPriority="19" w:semiHidden="1" w:unhideWhenUsed="1" w:qFormat="1"/>
    <w:lsdException w:name="index 1" w:uiPriority="0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semiHidden="1" w:unhideWhenUsed="1"/>
    <w:lsdException w:name="toc 4" w:uiPriority="31" w:semiHidden="1" w:unhideWhenUsed="1"/>
    <w:lsdException w:name="toc 5" w:uiPriority="31" w:semiHidden="1" w:unhideWhenUsed="1"/>
    <w:lsdException w:name="toc 6" w:uiPriority="31" w:semiHidden="1" w:unhideWhenUsed="1"/>
    <w:lsdException w:name="toc 7" w:uiPriority="31" w:semiHidden="1" w:unhideWhenUsed="1"/>
    <w:lsdException w:name="toc 8" w:uiPriority="31" w:semiHidden="1" w:unhideWhenUsed="1"/>
    <w:lsdException w:name="toc 9" w:uiPriority="31" w:semiHidden="1" w:unhideWhenUsed="1"/>
    <w:lsdException w:name="Normal Indent" w:uiPriority="0" w:semiHidden="1" w:unhideWhenUsed="1"/>
    <w:lsdException w:name="footnote text" w:uiPriority="39" w:semiHidden="1" w:unhideWhenUsed="1"/>
    <w:lsdException w:name="annotation text" w:semiHidden="1" w:unhideWhenUsed="1"/>
    <w:lsdException w:name="header" w:uiPriority="39" w:semiHidden="1" w:unhideWhenUsed="1"/>
    <w:lsdException w:name="footer" w:uiPriority="10" w:semiHidden="1" w:unhideWhenUsed="1"/>
    <w:lsdException w:name="index heading" w:uiPriority="0" w:semiHidden="1" w:unhideWhenUsed="1"/>
    <w:lsdException w:name="caption" w:uiPriority="34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39" w:semiHidden="1" w:unhideWhenUsed="1"/>
    <w:lsdException w:name="annotation reference" w:semiHidden="1" w:unhideWhenUsed="1"/>
    <w:lsdException w:name="line number" w:semiHidden="1" w:unhideWhenUsed="1"/>
    <w:lsdException w:name="page number" w:uiPriority="15" w:semiHidden="1" w:unhideWhenUsed="1"/>
    <w:lsdException w:name="endnote reference" w:uiPriority="39" w:semiHidden="1" w:unhideWhenUsed="1"/>
    <w:lsdException w:name="endnote text" w:uiPriority="39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semiHidden="1" w:unhideWhenUsed="1" w:qFormat="1"/>
    <w:lsdException w:name="Closing" w:uiPriority="0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uiPriority="0" w:semiHidden="1" w:unhideWhenUsed="1"/>
    <w:lsdException w:name="Subtitle" w:uiPriority="0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iPriority="49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FollowedHyperlink" w:uiPriority="36" w:semiHidden="1" w:unhideWhenUsed="1"/>
    <w:lsdException w:name="Strong" w:uiPriority="49" w:semiHidden="1" w:unhideWhenUsed="1" w:qFormat="1"/>
    <w:lsdException w:name="Emphasis" w:uiPriority="12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uiPriority="0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uiPriority="0" w:semiHidden="1" w:unhideWhenUsed="1"/>
    <w:lsdException w:name="Outline List 2" w:uiPriority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uiPriority="0" w:semiHidden="1" w:unhideWhenUsed="1"/>
    <w:lsdException w:name="Table Classic 2" w:uiPriority="0" w:semiHidden="1" w:unhideWhenUsed="1"/>
    <w:lsdException w:name="Table Classic 3" w:uiPriority="0" w:semiHidden="1" w:unhideWhenUsed="1"/>
    <w:lsdException w:name="Table Classic 4" w:uiPriority="0" w:semiHidden="1" w:unhideWhenUsed="1"/>
    <w:lsdException w:name="Table Colorful 1" w:uiPriority="0" w:semiHidden="1" w:unhideWhenUsed="1"/>
    <w:lsdException w:name="Table Colorful 2" w:uiPriority="0" w:semiHidden="1" w:unhideWhenUsed="1"/>
    <w:lsdException w:name="Table Colorful 3" w:uiPriority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uiPriority="0" w:semiHidden="1" w:unhideWhenUsed="1"/>
    <w:lsdException w:name="Table 3D effects 2" w:uiPriority="0" w:semiHidden="1" w:unhideWhenUsed="1"/>
    <w:lsdException w:name="Table 3D effects 3" w:uiPriority="0" w:semiHidden="1" w:unhideWhenUsed="1"/>
    <w:lsdException w:name="Table Contemporary" w:uiPriority="0" w:semiHidden="1" w:unhideWhenUsed="1"/>
    <w:lsdException w:name="Table Elegant" w:uiPriority="0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semiHidden="1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uiPriority="31" w:semiHidden="1" w:unhideWhenUsed="1" w:qFormat="1"/>
    <w:lsdException w:name="Intense Reference" w:semiHidden="1" w:unhideWhenUsed="1" w:qFormat="1"/>
    <w:lsdException w:name="Book Title" w:semiHidden="1" w:unhideWhenUsed="1" w:qFormat="1"/>
    <w:lsdException w:name="Bibliography" w:uiPriority="33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36C4F"/>
    <w:pPr>
      <w:spacing w:line="260" w:lineRule="atLeast"/>
    </w:pPr>
  </w:style>
  <w:style w:type="paragraph" w:styleId="Heading1">
    <w:name w:val="heading 1"/>
    <w:basedOn w:val="Normal"/>
    <w:next w:val="Normal"/>
    <w:link w:val="Heading1Char"/>
    <w:uiPriority w:val="19"/>
    <w:qFormat/>
    <w:rsid w:val="002779AB"/>
    <w:pPr>
      <w:keepNext/>
      <w:numPr>
        <w:numId w:val="7"/>
      </w:numPr>
      <w:spacing w:after="280" w:line="320" w:lineRule="exact"/>
      <w:contextualSpacing/>
      <w:outlineLvl w:val="0"/>
    </w:pPr>
    <w:rPr>
      <w:rFonts w:cs="Arial" w:asciiTheme="majorHAnsi" w:hAnsiTheme="majorHAnsi"/>
      <w:bCs/>
      <w:sz w:val="28"/>
      <w:szCs w:val="28"/>
      <w:lang w:eastAsia="de-DE"/>
    </w:rPr>
  </w:style>
  <w:style w:type="paragraph" w:styleId="Heading2">
    <w:name w:val="heading 2"/>
    <w:basedOn w:val="Normal"/>
    <w:next w:val="Normal"/>
    <w:link w:val="Heading2Char"/>
    <w:uiPriority w:val="19"/>
    <w:qFormat/>
    <w:rsid w:val="002779AB"/>
    <w:pPr>
      <w:keepNext/>
      <w:numPr>
        <w:ilvl w:val="1"/>
        <w:numId w:val="7"/>
      </w:numPr>
      <w:spacing w:after="240"/>
      <w:contextualSpacing/>
      <w:outlineLvl w:val="1"/>
    </w:pPr>
    <w:rPr>
      <w:rFonts w:cs="Arial" w:asciiTheme="majorHAnsi" w:hAnsiTheme="majorHAnsi"/>
      <w:bCs/>
      <w:sz w:val="24"/>
      <w:szCs w:val="24"/>
      <w:lang w:eastAsia="de-DE"/>
    </w:rPr>
  </w:style>
  <w:style w:type="paragraph" w:styleId="Heading3">
    <w:name w:val="heading 3"/>
    <w:basedOn w:val="Normal"/>
    <w:next w:val="Normal"/>
    <w:link w:val="Heading3Char"/>
    <w:uiPriority w:val="19"/>
    <w:qFormat/>
    <w:rsid w:val="002779AB"/>
    <w:pPr>
      <w:keepNext/>
      <w:numPr>
        <w:ilvl w:val="2"/>
        <w:numId w:val="7"/>
      </w:numPr>
      <w:spacing w:after="240"/>
      <w:contextualSpacing/>
      <w:outlineLvl w:val="2"/>
    </w:pPr>
    <w:rPr>
      <w:rFonts w:cs="Arial" w:asciiTheme="majorHAnsi" w:hAnsiTheme="majorHAnsi"/>
      <w:szCs w:val="18"/>
      <w:lang w:eastAsia="de-DE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9E5A33"/>
    <w:pPr>
      <w:keepNext/>
      <w:numPr>
        <w:ilvl w:val="3"/>
        <w:numId w:val="7"/>
      </w:numPr>
      <w:spacing w:after="120" w:line="240" w:lineRule="atLeast"/>
      <w:contextualSpacing/>
      <w:outlineLvl w:val="3"/>
    </w:pPr>
    <w:rPr>
      <w:rFonts w:cs="Arial"/>
      <w:szCs w:val="18"/>
      <w:lang w:eastAsia="de-DE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0B2869"/>
    <w:pPr>
      <w:keepNext/>
      <w:numPr>
        <w:ilvl w:val="4"/>
        <w:numId w:val="7"/>
      </w:numPr>
      <w:spacing w:after="120"/>
      <w:contextualSpacing/>
      <w:outlineLvl w:val="4"/>
    </w:pPr>
    <w:rPr>
      <w:rFonts w:cs="Arial"/>
      <w:szCs w:val="18"/>
      <w:lang w:eastAsia="de-DE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4"/>
      </w:numPr>
      <w:spacing w:after="120" w:line="240" w:lineRule="atLeast"/>
      <w:contextualSpacing/>
      <w:outlineLvl w:val="5"/>
    </w:pPr>
    <w:rPr>
      <w:bCs/>
      <w:sz w:val="18"/>
      <w:lang w:eastAsia="de-DE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4"/>
      </w:numPr>
      <w:spacing w:after="120" w:line="240" w:lineRule="atLeast"/>
      <w:contextualSpacing/>
      <w:outlineLvl w:val="6"/>
    </w:pPr>
    <w:rPr>
      <w:sz w:val="18"/>
      <w:szCs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4"/>
      </w:numPr>
      <w:spacing w:after="120" w:line="240" w:lineRule="atLeast"/>
      <w:contextualSpacing/>
      <w:outlineLvl w:val="7"/>
    </w:pPr>
    <w:rPr>
      <w:iCs/>
      <w:sz w:val="18"/>
      <w:szCs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4"/>
      </w:numPr>
      <w:tabs>
        <w:tab w:val="left" w:pos="1701"/>
      </w:tabs>
      <w:spacing w:after="120" w:line="240" w:lineRule="atLeast"/>
      <w:contextualSpacing/>
      <w:outlineLvl w:val="8"/>
    </w:pPr>
    <w:rPr>
      <w:sz w:val="18"/>
      <w:lang w:eastAsia="de-D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</w:style>
  <w:style w:type="character" w:styleId="HeaderChar" w:customStyle="1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rsid w:val="00372AC0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styleId="FooterChar" w:customStyle="1">
    <w:name w:val="Footer Char"/>
    <w:link w:val="Footer"/>
    <w:uiPriority w:val="10"/>
    <w:rsid w:val="00372AC0"/>
    <w:rPr>
      <w:sz w:val="14"/>
    </w:rPr>
  </w:style>
  <w:style w:type="paragraph" w:styleId="ListBullet2">
    <w:name w:val="List Bullet 2"/>
    <w:basedOn w:val="Normal"/>
    <w:uiPriority w:val="99"/>
    <w:semiHidden/>
    <w:rsid w:val="00E94DCD"/>
    <w:pPr>
      <w:numPr>
        <w:ilvl w:val="4"/>
        <w:numId w:val="5"/>
      </w:numPr>
    </w:pPr>
  </w:style>
  <w:style w:type="paragraph" w:styleId="ListBullet3">
    <w:name w:val="List Bullet 3"/>
    <w:basedOn w:val="Normal"/>
    <w:uiPriority w:val="99"/>
    <w:semiHidden/>
    <w:rsid w:val="00E94DCD"/>
    <w:pPr>
      <w:numPr>
        <w:ilvl w:val="5"/>
        <w:numId w:val="5"/>
      </w:numPr>
    </w:pPr>
  </w:style>
  <w:style w:type="paragraph" w:styleId="ListBullet4">
    <w:name w:val="List Bullet 4"/>
    <w:basedOn w:val="Normal"/>
    <w:uiPriority w:val="99"/>
    <w:semiHidden/>
    <w:rsid w:val="00E94DCD"/>
    <w:pPr>
      <w:numPr>
        <w:ilvl w:val="6"/>
        <w:numId w:val="5"/>
      </w:numPr>
    </w:pPr>
  </w:style>
  <w:style w:type="paragraph" w:styleId="ListBullet5">
    <w:name w:val="List Bullet 5"/>
    <w:basedOn w:val="Normal"/>
    <w:uiPriority w:val="99"/>
    <w:semiHidden/>
    <w:rsid w:val="00E94DCD"/>
    <w:pPr>
      <w:numPr>
        <w:ilvl w:val="7"/>
        <w:numId w:val="5"/>
      </w:numPr>
    </w:pPr>
  </w:style>
  <w:style w:type="table" w:styleId="BasisTabelle" w:customStyle="1">
    <w:name w:val="Basis Tabelle"/>
    <w:basedOn w:val="TableNormal"/>
    <w:rsid w:val="000B2869"/>
    <w:rPr>
      <w:lang w:eastAsia="de-CH"/>
    </w:rPr>
    <w:tblPr>
      <w:tblStyleRowBandSize w:val="1"/>
      <w:tblBorders>
        <w:bottom w:val="single" w:color="808080" w:sz="2" w:space="0"/>
        <w:insideH w:val="single" w:color="808080" w:sz="2" w:space="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Theme="majorHAnsi" w:hAnsiTheme="majorHAnsi"/>
        <w:b w:val="0"/>
      </w:rPr>
      <w:tblPr/>
      <w:tcPr>
        <w:tcBorders>
          <w:bottom w:val="single" w:color="808080" w:sz="4" w:space="0"/>
        </w:tcBorders>
      </w:tcPr>
    </w:tblStylePr>
    <w:tblStylePr w:type="band1Horz">
      <w:tblPr/>
      <w:tcPr>
        <w:tcBorders>
          <w:bottom w:val="single" w:color="808080" w:sz="4" w:space="0"/>
        </w:tcBorders>
      </w:tcPr>
    </w:tblStylePr>
    <w:tblStylePr w:type="band2Horz">
      <w:tblPr/>
      <w:tcPr>
        <w:shd w:val="clear" w:color="auto" w:fill="E6E6E6"/>
      </w:tcPr>
    </w:tblStylePr>
  </w:style>
  <w:style w:type="paragraph" w:styleId="Caption">
    <w:name w:val="caption"/>
    <w:basedOn w:val="Normal"/>
    <w:next w:val="Normal"/>
    <w:uiPriority w:val="39"/>
    <w:unhideWhenUsed/>
    <w:rsid w:val="0002682B"/>
    <w:pPr>
      <w:framePr w:h="454" w:wrap="around" w:hAnchor="text" w:vAnchor="text" w:y="1"/>
      <w:suppressLineNumbers/>
      <w:spacing w:before="60" w:after="120" w:line="200" w:lineRule="atLeast"/>
      <w:ind w:right="113"/>
    </w:pPr>
    <w:rPr>
      <w:bCs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styleId="BulletpointsEbene1" w:customStyle="1">
    <w:name w:val="Bulletpoints Ebene 1"/>
    <w:basedOn w:val="Normal"/>
    <w:uiPriority w:val="99"/>
    <w:semiHidden/>
    <w:rsid w:val="00E94DCD"/>
    <w:pPr>
      <w:numPr>
        <w:numId w:val="1"/>
      </w:numPr>
      <w:tabs>
        <w:tab w:val="left" w:pos="454"/>
      </w:tabs>
      <w:spacing w:line="280" w:lineRule="atLeast"/>
    </w:pPr>
    <w:rPr>
      <w:rFonts w:eastAsia="Calibri" w:cs="Arial"/>
    </w:rPr>
  </w:style>
  <w:style w:type="paragraph" w:styleId="BulletpointsEbene2" w:customStyle="1">
    <w:name w:val="Bulletpoints Ebene 2"/>
    <w:basedOn w:val="Normal"/>
    <w:uiPriority w:val="99"/>
    <w:semiHidden/>
    <w:rsid w:val="00E94DCD"/>
    <w:pPr>
      <w:numPr>
        <w:ilvl w:val="1"/>
        <w:numId w:val="1"/>
      </w:numPr>
    </w:pPr>
    <w:rPr>
      <w:rFonts w:eastAsia="Calibri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</w:rPr>
  </w:style>
  <w:style w:type="character" w:styleId="DocumentMapChar" w:customStyle="1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</w:style>
  <w:style w:type="character" w:styleId="ClosingChar" w:customStyle="1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50"/>
    <w:qFormat/>
    <w:rsid w:val="001665A6"/>
    <w:rPr>
      <w:rFonts w:asciiTheme="majorHAnsi" w:hAnsiTheme="majorHAnsi"/>
      <w:b w:val="0"/>
      <w:iCs/>
      <w:color w:val="66CC33" w:themeColor="accent1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styleId="HTMLAddressChar" w:customStyle="1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</w:rPr>
  </w:style>
  <w:style w:type="character" w:styleId="HTMLPreformattedChar" w:customStyle="1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iPriority w:val="99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ind w:left="180" w:hanging="180"/>
    </w:p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rPr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sz w:val="24"/>
    </w:rPr>
  </w:style>
  <w:style w:type="character" w:styleId="MessageHeaderChar" w:customStyle="1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ind w:left="454"/>
    </w:p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hAnsi="Arial Fett"/>
      <w:b/>
      <w:bCs/>
      <w:smallCaps/>
      <w:sz w:val="32"/>
      <w:szCs w:val="32"/>
    </w:rPr>
  </w:style>
  <w:style w:type="character" w:styleId="TitleChar" w:customStyle="1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styleId="Heading1Char" w:customStyle="1">
    <w:name w:val="Heading 1 Char"/>
    <w:link w:val="Heading1"/>
    <w:uiPriority w:val="19"/>
    <w:rsid w:val="002779AB"/>
    <w:rPr>
      <w:rFonts w:cs="Arial" w:asciiTheme="majorHAnsi" w:hAnsiTheme="majorHAnsi"/>
      <w:bCs/>
      <w:sz w:val="28"/>
      <w:szCs w:val="28"/>
      <w:lang w:eastAsia="de-DE"/>
    </w:rPr>
  </w:style>
  <w:style w:type="character" w:styleId="Heading2Char" w:customStyle="1">
    <w:name w:val="Heading 2 Char"/>
    <w:link w:val="Heading2"/>
    <w:uiPriority w:val="19"/>
    <w:rsid w:val="002779AB"/>
    <w:rPr>
      <w:rFonts w:cs="Arial" w:asciiTheme="majorHAnsi" w:hAnsiTheme="majorHAnsi"/>
      <w:bCs/>
      <w:sz w:val="24"/>
      <w:szCs w:val="24"/>
      <w:lang w:eastAsia="de-DE"/>
    </w:rPr>
  </w:style>
  <w:style w:type="character" w:styleId="Heading3Char" w:customStyle="1">
    <w:name w:val="Heading 3 Char"/>
    <w:link w:val="Heading3"/>
    <w:uiPriority w:val="19"/>
    <w:rsid w:val="002779AB"/>
    <w:rPr>
      <w:rFonts w:cs="Arial" w:asciiTheme="majorHAnsi" w:hAnsiTheme="majorHAnsi"/>
      <w:szCs w:val="18"/>
      <w:lang w:eastAsia="de-DE"/>
    </w:rPr>
  </w:style>
  <w:style w:type="character" w:styleId="Heading4Char" w:customStyle="1">
    <w:name w:val="Heading 4 Char"/>
    <w:link w:val="Heading4"/>
    <w:uiPriority w:val="19"/>
    <w:rsid w:val="009E5A33"/>
    <w:rPr>
      <w:rFonts w:cs="Arial"/>
      <w:szCs w:val="18"/>
      <w:lang w:eastAsia="de-DE"/>
    </w:rPr>
  </w:style>
  <w:style w:type="character" w:styleId="Heading5Char" w:customStyle="1">
    <w:name w:val="Heading 5 Char"/>
    <w:link w:val="Heading5"/>
    <w:uiPriority w:val="19"/>
    <w:rsid w:val="000B2869"/>
    <w:rPr>
      <w:rFonts w:cs="Arial"/>
      <w:szCs w:val="18"/>
      <w:lang w:eastAsia="de-DE"/>
    </w:rPr>
  </w:style>
  <w:style w:type="character" w:styleId="Heading6Char" w:customStyle="1">
    <w:name w:val="Heading 6 Char"/>
    <w:link w:val="Heading6"/>
    <w:uiPriority w:val="19"/>
    <w:semiHidden/>
    <w:rsid w:val="001E1FA7"/>
    <w:rPr>
      <w:bCs/>
      <w:sz w:val="18"/>
      <w:lang w:eastAsia="de-DE"/>
    </w:rPr>
  </w:style>
  <w:style w:type="character" w:styleId="Heading7Char" w:customStyle="1">
    <w:name w:val="Heading 7 Char"/>
    <w:link w:val="Heading7"/>
    <w:uiPriority w:val="19"/>
    <w:semiHidden/>
    <w:rsid w:val="001E1FA7"/>
    <w:rPr>
      <w:sz w:val="18"/>
      <w:szCs w:val="24"/>
      <w:lang w:eastAsia="de-DE"/>
    </w:rPr>
  </w:style>
  <w:style w:type="character" w:styleId="Heading8Char" w:customStyle="1">
    <w:name w:val="Heading 8 Char"/>
    <w:link w:val="Heading8"/>
    <w:uiPriority w:val="19"/>
    <w:semiHidden/>
    <w:rsid w:val="001E1FA7"/>
    <w:rPr>
      <w:iCs/>
      <w:sz w:val="18"/>
      <w:szCs w:val="24"/>
      <w:lang w:eastAsia="de-DE"/>
    </w:rPr>
  </w:style>
  <w:style w:type="character" w:styleId="Heading9Char" w:customStyle="1">
    <w:name w:val="Heading 9 Char"/>
    <w:link w:val="Heading9"/>
    <w:uiPriority w:val="19"/>
    <w:semiHidden/>
    <w:rsid w:val="001E1FA7"/>
    <w:rPr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  <w:rPr>
      <w:sz w:val="24"/>
    </w:rPr>
  </w:style>
  <w:style w:type="character" w:styleId="SubtitleChar" w:customStyle="1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9"/>
    <w:unhideWhenUsed/>
    <w:rsid w:val="00A32015"/>
    <w:pPr>
      <w:ind w:left="454" w:right="284" w:hanging="454"/>
    </w:pPr>
    <w:rPr>
      <w:rFonts w:asciiTheme="majorHAnsi" w:hAnsiTheme="majorHAnsi"/>
    </w:rPr>
  </w:style>
  <w:style w:type="paragraph" w:styleId="TOC2">
    <w:name w:val="toc 2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3">
    <w:name w:val="toc 3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4">
    <w:name w:val="toc 4"/>
    <w:basedOn w:val="Normal"/>
    <w:next w:val="Normal"/>
    <w:autoRedefine/>
    <w:uiPriority w:val="30"/>
    <w:semiHidden/>
    <w:rsid w:val="00DB58D5"/>
    <w:pPr>
      <w:ind w:left="737" w:hanging="737"/>
    </w:pPr>
  </w:style>
  <w:style w:type="paragraph" w:styleId="TOC5">
    <w:name w:val="toc 5"/>
    <w:basedOn w:val="Normal"/>
    <w:next w:val="Normal"/>
    <w:autoRedefine/>
    <w:uiPriority w:val="30"/>
    <w:semiHidden/>
    <w:rsid w:val="00DB58D5"/>
    <w:pPr>
      <w:ind w:left="1009" w:hanging="1009"/>
    </w:pPr>
  </w:style>
  <w:style w:type="paragraph" w:styleId="TOC6">
    <w:name w:val="toc 6"/>
    <w:basedOn w:val="Normal"/>
    <w:next w:val="Normal"/>
    <w:autoRedefine/>
    <w:uiPriority w:val="30"/>
    <w:semiHidden/>
    <w:rsid w:val="00DB58D5"/>
    <w:pPr>
      <w:ind w:left="1151" w:hanging="1151"/>
    </w:pPr>
  </w:style>
  <w:style w:type="paragraph" w:styleId="TOC7">
    <w:name w:val="toc 7"/>
    <w:basedOn w:val="Normal"/>
    <w:next w:val="Normal"/>
    <w:autoRedefine/>
    <w:uiPriority w:val="30"/>
    <w:semiHidden/>
    <w:rsid w:val="00DB58D5"/>
    <w:pPr>
      <w:ind w:left="1298" w:hanging="1298"/>
    </w:pPr>
  </w:style>
  <w:style w:type="paragraph" w:styleId="TOC8">
    <w:name w:val="toc 8"/>
    <w:basedOn w:val="Normal"/>
    <w:next w:val="Normal"/>
    <w:autoRedefine/>
    <w:uiPriority w:val="30"/>
    <w:semiHidden/>
    <w:rsid w:val="00DB58D5"/>
    <w:pPr>
      <w:ind w:left="1440" w:hanging="1440"/>
    </w:pPr>
  </w:style>
  <w:style w:type="paragraph" w:styleId="TOC9">
    <w:name w:val="toc 9"/>
    <w:basedOn w:val="Normal"/>
    <w:next w:val="Normal"/>
    <w:autoRedefine/>
    <w:uiPriority w:val="30"/>
    <w:semiHidden/>
    <w:rsid w:val="00DB58D5"/>
    <w:pPr>
      <w:ind w:left="1582" w:hanging="1582"/>
    </w:pPr>
  </w:style>
  <w:style w:type="character" w:styleId="IntenseEmphasis">
    <w:name w:val="Intense Emphasis"/>
    <w:uiPriority w:val="50"/>
    <w:qFormat/>
    <w:rsid w:val="001665A6"/>
    <w:rPr>
      <w:rFonts w:asciiTheme="majorHAnsi" w:hAnsiTheme="majorHAnsi"/>
      <w:b w:val="0"/>
      <w:bCs/>
      <w:iCs/>
      <w:caps/>
      <w:color w:val="66CC33" w:themeColor="accent1"/>
    </w:rPr>
  </w:style>
  <w:style w:type="paragraph" w:styleId="ListParagraph">
    <w:name w:val="List Paragraph"/>
    <w:basedOn w:val="Normal"/>
    <w:uiPriority w:val="99"/>
    <w:semiHidden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hAnsi="ATP Univers"/>
      <w:lang w:val="de-DE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hAnsi="ATP Univers"/>
      <w:lang w:val="de-DE"/>
    </w:rPr>
  </w:style>
  <w:style w:type="paragraph" w:styleId="FusszeilePfad" w:customStyle="1">
    <w:name w:val="Fusszeile Pfad"/>
    <w:basedOn w:val="Footer"/>
    <w:uiPriority w:val="9"/>
    <w:rsid w:val="00DB58D5"/>
    <w:pPr>
      <w:jc w:val="center"/>
    </w:pPr>
  </w:style>
  <w:style w:type="paragraph" w:styleId="BulletpointsLevel1" w:customStyle="1">
    <w:name w:val="Bulletpoints Level 1"/>
    <w:basedOn w:val="Normal"/>
    <w:uiPriority w:val="3"/>
    <w:qFormat/>
    <w:rsid w:val="00E37B1D"/>
    <w:pPr>
      <w:numPr>
        <w:numId w:val="5"/>
      </w:numPr>
      <w:tabs>
        <w:tab w:val="right" w:pos="454"/>
      </w:tabs>
      <w:spacing w:before="60"/>
    </w:pPr>
  </w:style>
  <w:style w:type="paragraph" w:styleId="BulletpointsLevel2" w:customStyle="1">
    <w:name w:val="Bulletpoints Level 2"/>
    <w:basedOn w:val="Normal"/>
    <w:uiPriority w:val="4"/>
    <w:qFormat/>
    <w:rsid w:val="00DB58D5"/>
    <w:pPr>
      <w:numPr>
        <w:ilvl w:val="1"/>
        <w:numId w:val="5"/>
      </w:numPr>
    </w:pPr>
  </w:style>
  <w:style w:type="paragraph" w:styleId="Lettering" w:customStyle="1">
    <w:name w:val="Lettering"/>
    <w:basedOn w:val="Normal"/>
    <w:uiPriority w:val="5"/>
    <w:qFormat/>
    <w:rsid w:val="00DB58D5"/>
    <w:pPr>
      <w:numPr>
        <w:numId w:val="11"/>
      </w:numPr>
      <w:spacing w:before="60"/>
    </w:pPr>
  </w:style>
  <w:style w:type="paragraph" w:styleId="noBulletpoint" w:customStyle="1">
    <w:name w:val="noBulletpoint"/>
    <w:basedOn w:val="Normal"/>
    <w:uiPriority w:val="4"/>
    <w:qFormat/>
    <w:rsid w:val="00DB58D5"/>
    <w:pPr>
      <w:numPr>
        <w:ilvl w:val="2"/>
        <w:numId w:val="5"/>
      </w:numPr>
      <w:spacing w:before="60"/>
    </w:pPr>
  </w:style>
  <w:style w:type="paragraph" w:styleId="Numbering" w:customStyle="1">
    <w:name w:val="Numbering"/>
    <w:basedOn w:val="Normal"/>
    <w:uiPriority w:val="6"/>
    <w:qFormat/>
    <w:rsid w:val="00DB58D5"/>
    <w:pPr>
      <w:numPr>
        <w:numId w:val="10"/>
      </w:numPr>
      <w:spacing w:before="60"/>
    </w:pPr>
  </w:style>
  <w:style w:type="paragraph" w:styleId="SensirionSubtitle" w:customStyle="1">
    <w:name w:val="Sensirion Subtitle"/>
    <w:basedOn w:val="Normal"/>
    <w:uiPriority w:val="2"/>
    <w:qFormat/>
    <w:rsid w:val="002779AB"/>
    <w:pPr>
      <w:spacing w:line="260" w:lineRule="exact"/>
      <w:contextualSpacing/>
    </w:pPr>
    <w:rPr>
      <w:rFonts w:asciiTheme="majorHAnsi" w:hAnsiTheme="majorHAnsi"/>
      <w:lang w:eastAsia="de-DE"/>
    </w:rPr>
  </w:style>
  <w:style w:type="paragraph" w:styleId="SensirionTitle" w:customStyle="1">
    <w:name w:val="Sensirion Title"/>
    <w:basedOn w:val="Normal"/>
    <w:uiPriority w:val="1"/>
    <w:qFormat/>
    <w:rsid w:val="002779AB"/>
    <w:pPr>
      <w:spacing w:line="320" w:lineRule="exact"/>
      <w:contextualSpacing/>
    </w:pPr>
    <w:rPr>
      <w:rFonts w:asciiTheme="majorHAnsi" w:hAnsiTheme="majorHAnsi"/>
      <w:sz w:val="28"/>
    </w:rPr>
  </w:style>
  <w:style w:type="paragraph" w:styleId="Marginale" w:customStyle="1">
    <w:name w:val="Marginale"/>
    <w:basedOn w:val="Normal"/>
    <w:uiPriority w:val="7"/>
    <w:qFormat/>
    <w:rsid w:val="001665A6"/>
    <w:pPr>
      <w:framePr w:w="2268" w:hSpace="567" w:wrap="around" w:hAnchor="text" w:vAnchor="text" w:xAlign="right" w:y="1"/>
    </w:pPr>
    <w:rPr>
      <w:color w:val="66CC33" w:themeColor="accent1"/>
    </w:rPr>
  </w:style>
  <w:style w:type="paragraph" w:styleId="MarginaleText" w:customStyle="1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99"/>
    <w:unhideWhenUsed/>
    <w:rsid w:val="00DB58D5"/>
    <w:pPr>
      <w:ind w:right="284"/>
    </w:p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styleId="QuoteChar" w:customStyle="1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</w:style>
  <w:style w:type="character" w:styleId="EndnoteTextChar" w:customStyle="1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</w:style>
  <w:style w:type="character" w:styleId="FootnoteTextChar" w:customStyle="1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color="C8BBBB" w:sz="8" w:space="0"/>
        <w:bottom w:val="single" w:color="C8BBBB" w:sz="8" w:space="0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BBBB" w:sz="8" w:space="0"/>
          <w:left w:val="nil"/>
          <w:bottom w:val="single" w:color="C8BBBB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color="C8BBBB" w:sz="8" w:space="0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3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color="EBE6E6" w:sz="8" w:space="0"/>
        <w:bottom w:val="single" w:color="EBE6E6" w:sz="8" w:space="0"/>
      </w:tblBorders>
    </w:tblPr>
    <w:tblStylePr w:type="firstRow">
      <w:rPr>
        <w:rFonts w:ascii="Arial Narrow" w:hAnsi="Arial Narrow" w:eastAsia="Times New Roman" w:cs="Times New Roman"/>
      </w:rPr>
      <w:tblPr/>
      <w:tcPr>
        <w:tcBorders>
          <w:top w:val="nil"/>
          <w:bottom w:val="single" w:color="EBE6E6" w:sz="8" w:space="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color="EBE6E6" w:sz="8" w:space="0"/>
          <w:bottom w:val="single" w:color="EBE6E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BE6E6" w:sz="8" w:space="0"/>
          <w:bottom w:val="single" w:color="EBE6E6" w:sz="8" w:space="0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numbering" w:styleId="SensirionListealt" w:customStyle="1">
    <w:name w:val="Sensirion Liste alt"/>
    <w:uiPriority w:val="99"/>
    <w:rsid w:val="00DB58D5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C3756F"/>
    <w:pPr>
      <w:numPr>
        <w:ilvl w:val="3"/>
        <w:numId w:val="5"/>
      </w:numPr>
      <w:spacing w:before="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0AA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49"/>
    <w:unhideWhenUsed/>
    <w:qFormat/>
    <w:rsid w:val="001E282A"/>
    <w:rPr>
      <w:rFonts w:asciiTheme="majorHAnsi" w:hAnsiTheme="majorHAnsi"/>
      <w:b w:val="0"/>
      <w:bCs/>
    </w:rPr>
  </w:style>
  <w:style w:type="numbering" w:styleId="SensirionListBulletPoints" w:customStyle="1">
    <w:name w:val="Sensirion List Bullet Points"/>
    <w:uiPriority w:val="99"/>
    <w:rsid w:val="00C3756F"/>
    <w:pPr>
      <w:numPr>
        <w:numId w:val="5"/>
      </w:numPr>
    </w:pPr>
  </w:style>
  <w:style w:type="numbering" w:styleId="SensirionList123Heading" w:customStyle="1">
    <w:name w:val="Sensirion List 123 Heading"/>
    <w:uiPriority w:val="99"/>
    <w:rsid w:val="00A93798"/>
    <w:pPr>
      <w:numPr>
        <w:numId w:val="7"/>
      </w:numPr>
    </w:pPr>
  </w:style>
  <w:style w:type="numbering" w:styleId="SensirionList123Numbering" w:customStyle="1">
    <w:name w:val="Sensirion List 123 Numbering"/>
    <w:uiPriority w:val="99"/>
    <w:rsid w:val="000903CE"/>
    <w:pPr>
      <w:numPr>
        <w:numId w:val="10"/>
      </w:numPr>
    </w:pPr>
  </w:style>
  <w:style w:type="numbering" w:styleId="SensirionListabcLettering" w:customStyle="1">
    <w:name w:val="Sensirion List abc Lettering"/>
    <w:uiPriority w:val="99"/>
    <w:rsid w:val="000903CE"/>
    <w:pPr>
      <w:numPr>
        <w:numId w:val="11"/>
      </w:numPr>
    </w:pPr>
  </w:style>
  <w:style w:type="character" w:styleId="CommentReference">
    <w:name w:val="Comment Reference"/>
    <w:basedOn w:val="DefaultParagraphFont"/>
    <w:uiPriority w:val="99"/>
    <w:semiHidden/>
    <w:unhideWhenUsed/>
    <w:rsid w:val="005729D8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5729D8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5729D8"/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5729D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729D8"/>
    <w:rPr>
      <w:b/>
      <w:bCs/>
    </w:rPr>
  </w:style>
  <w:style w:type="paragraph" w:styleId="Revision">
    <w:name w:val="Revision"/>
    <w:hidden/>
    <w:uiPriority w:val="99"/>
    <w:semiHidden/>
    <w:rsid w:val="00572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2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4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://www.sensirion.com/" TargetMode="External" Id="rId11" /><Relationship Type="http://schemas.openxmlformats.org/officeDocument/2006/relationships/webSettings" Target="webSettings.xml" Id="rId5" /><Relationship Type="http://schemas.openxmlformats.org/officeDocument/2006/relationships/footer" Target="footer2.xml" Id="rId15" /><Relationship Type="http://schemas.openxmlformats.org/officeDocument/2006/relationships/hyperlink" Target="https://sensirion.com/products/channel-partners" TargetMode="External" Id="rId10" /><Relationship Type="http://schemas.openxmlformats.org/officeDocument/2006/relationships/customXml" Target="../customXml/item3.xml" Id="rId19" /><Relationship Type="http://schemas.openxmlformats.org/officeDocument/2006/relationships/settings" Target="settings.xml" Id="rId4" /><Relationship Type="http://schemas.openxmlformats.org/officeDocument/2006/relationships/hyperlink" Target="https://sensirion.com/products/catalog/SEN62" TargetMode="External" Id="rId9" /><Relationship Type="http://schemas.openxmlformats.org/officeDocument/2006/relationships/header" Target="header2.xml" Id="rId14" /><Relationship Type="http://schemas.openxmlformats.org/officeDocument/2006/relationships/image" Target="/media/image2.png" Id="rId73566239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xmlns:thm15="http://schemas.microsoft.com/office/thememl/2012/main" name="Sensirion">
  <a:themeElements>
    <a:clrScheme name="Sensirion Colors">
      <a:dk1>
        <a:srgbClr val="000000"/>
      </a:dk1>
      <a:lt1>
        <a:srgbClr val="FFFFFF"/>
      </a:lt1>
      <a:dk2>
        <a:srgbClr val="616161"/>
      </a:dk2>
      <a:lt2>
        <a:srgbClr val="BDBDBD"/>
      </a:lt2>
      <a:accent1>
        <a:srgbClr val="66CC33"/>
      </a:accent1>
      <a:accent2>
        <a:srgbClr val="A3E085"/>
      </a:accent2>
      <a:accent3>
        <a:srgbClr val="C2EBAD"/>
      </a:accent3>
      <a:accent4>
        <a:srgbClr val="024430"/>
      </a:accent4>
      <a:accent5>
        <a:srgbClr val="004494"/>
      </a:accent5>
      <a:accent6>
        <a:srgbClr val="660099"/>
      </a:accent6>
      <a:hlink>
        <a:srgbClr val="000000"/>
      </a:hlink>
      <a:folHlink>
        <a:srgbClr val="000000"/>
      </a:folHlink>
    </a:clrScheme>
    <a:fontScheme name="Sensirion Fonts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>
    <a:extraClrScheme>
      <a:clrScheme name="Sensirion">
        <a:dk1>
          <a:srgbClr val="000000"/>
        </a:dk1>
        <a:lt1>
          <a:srgbClr val="FFFFFF"/>
        </a:lt1>
        <a:dk2>
          <a:srgbClr val="616161"/>
        </a:dk2>
        <a:lt2>
          <a:srgbClr val="BDBDBD"/>
        </a:lt2>
        <a:accent1>
          <a:srgbClr val="66CC33"/>
        </a:accent1>
        <a:accent2>
          <a:srgbClr val="A3E085"/>
        </a:accent2>
        <a:accent3>
          <a:srgbClr val="C2EBAD"/>
        </a:accent3>
        <a:accent4>
          <a:srgbClr val="024430"/>
        </a:accent4>
        <a:accent5>
          <a:srgbClr val="004494"/>
        </a:accent5>
        <a:accent6>
          <a:srgbClr val="660099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Sensirion Green 100%">
      <a:srgbClr val="66CC33"/>
    </a:custClr>
    <a:custClr name="Sensirion Green 60%">
      <a:srgbClr val="A3E085"/>
    </a:custClr>
    <a:custClr name="Sensirion Green 40%">
      <a:srgbClr val="C2EBAD"/>
    </a:custClr>
    <a:custClr name="Sensirion Green 20%">
      <a:srgbClr val="E0F5D6"/>
    </a:custClr>
    <a:custClr name="Weiss">
      <a:srgbClr val="FFFFFF"/>
    </a:custClr>
    <a:custClr name="Weiss">
      <a:srgbClr val="FFFFFF"/>
    </a:custClr>
    <a:custClr name="Weiss">
      <a:srgbClr val="FFFFFF"/>
    </a:custClr>
    <a:custClr name="PCB Green">
      <a:srgbClr val="024430"/>
    </a:custClr>
    <a:custClr name="Cadmium Blue">
      <a:srgbClr val="004494"/>
    </a:custClr>
    <a:custClr name="Solid Purple">
      <a:srgbClr val="660099"/>
    </a:custClr>
    <a:custClr name="Black 100%">
      <a:srgbClr val="000000"/>
    </a:custClr>
    <a:custClr name="Black 60% - Cool Gray 9">
      <a:srgbClr val="616161"/>
    </a:custClr>
    <a:custClr name="Black 30% - Cool Gray 6">
      <a:srgbClr val="BDBDBD"/>
    </a:custClr>
    <a:custClr name="Black 20% - Cool Gray 2">
      <a:srgbClr val="EEEEEE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Black 100%">
      <a:srgbClr val="000000"/>
    </a:custClr>
    <a:custClr name="Black 90%">
      <a:srgbClr val="191919"/>
    </a:custClr>
    <a:custClr name="Black 80%">
      <a:srgbClr val="333333"/>
    </a:custClr>
    <a:custClr name="Black 70%">
      <a:srgbClr val="4D4D4D"/>
    </a:custClr>
    <a:custClr name="Black 60%">
      <a:srgbClr val="666666"/>
    </a:custClr>
    <a:custClr name="Black 50%">
      <a:srgbClr val="808080"/>
    </a:custClr>
    <a:custClr name="Black 40%">
      <a:srgbClr val="999999"/>
    </a:custClr>
    <a:custClr name="Black 30%">
      <a:srgbClr val="B3B3B3"/>
    </a:custClr>
    <a:custClr name="Black 20%">
      <a:srgbClr val="CCCCCC"/>
    </a:custClr>
    <a:custClr name="Black 10%">
      <a:srgbClr val="E6E6E6"/>
    </a:custClr>
  </a:custClrLst>
  <a:extLst>
    <a:ext uri="{05A4C25C-085E-4340-85A3-A5531E510DB2}">
      <thm15:themeFamily xmlns:thm15="http://schemas.microsoft.com/office/thememl/2012/main" name="Sensirion" id="{6777E48B-2A95-4C2F-B6C2-375E2ACD4838}" vid="{71CDBA1E-0F08-484F-815D-DA716DEDBC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21" ma:contentTypeDescription="Create a new document." ma:contentTypeScope="" ma:versionID="8a73aae4570473dbe7f0bf8eb253c24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1537d5231aa7263387ff4daa12a604cf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26ec7-1124-4a59-96a7-46494b53e4e8">
      <Terms xmlns="http://schemas.microsoft.com/office/infopath/2007/PartnerControls"/>
    </lcf76f155ced4ddcb4097134ff3c332f>
    <TaxCatchAll xmlns="b1fe39c8-28e8-4fc2-89c1-b80381c4dc8f" xsi:nil="true"/>
  </documentManagement>
</p:properties>
</file>

<file path=customXml/itemProps1.xml><?xml version="1.0" encoding="utf-8"?>
<ds:datastoreItem xmlns:ds="http://schemas.openxmlformats.org/officeDocument/2006/customXml" ds:itemID="{8823FE86-530B-4FFF-A37E-0E63A620D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12F96B-7444-47E9-8946-BA0C9A4F6BE2}"/>
</file>

<file path=customXml/itemProps3.xml><?xml version="1.0" encoding="utf-8"?>
<ds:datastoreItem xmlns:ds="http://schemas.openxmlformats.org/officeDocument/2006/customXml" ds:itemID="{4BC65430-1EF9-4DAB-9D29-4CC5EBD33598}"/>
</file>

<file path=customXml/itemProps4.xml><?xml version="1.0" encoding="utf-8"?>
<ds:datastoreItem xmlns:ds="http://schemas.openxmlformats.org/officeDocument/2006/customXml" ds:itemID="{E8C39547-FDFC-48C6-B66D-AD34365B79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Kim Ceresola</lastModifiedBy>
  <revision>2</revision>
  <dcterms:created xsi:type="dcterms:W3CDTF">2026-03-31T08:58:00.0000000Z</dcterms:created>
  <dcterms:modified xsi:type="dcterms:W3CDTF">2026-04-20T07:19:43.0978693Z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833d12-c387-4ee1-b3ed-d59690047b70_Enabled">
    <vt:lpwstr>true</vt:lpwstr>
  </property>
  <property fmtid="{D5CDD505-2E9C-101B-9397-08002B2CF9AE}" pid="3" name="MSIP_Label_8b833d12-c387-4ee1-b3ed-d59690047b70_SetDate">
    <vt:lpwstr>2026-03-31T08:58:44Z</vt:lpwstr>
  </property>
  <property fmtid="{D5CDD505-2E9C-101B-9397-08002B2CF9AE}" pid="4" name="MSIP_Label_8b833d12-c387-4ee1-b3ed-d59690047b70_Method">
    <vt:lpwstr>Standard</vt:lpwstr>
  </property>
  <property fmtid="{D5CDD505-2E9C-101B-9397-08002B2CF9AE}" pid="5" name="MSIP_Label_8b833d12-c387-4ee1-b3ed-d59690047b70_Name">
    <vt:lpwstr>D5</vt:lpwstr>
  </property>
  <property fmtid="{D5CDD505-2E9C-101B-9397-08002B2CF9AE}" pid="6" name="MSIP_Label_8b833d12-c387-4ee1-b3ed-d59690047b70_SiteId">
    <vt:lpwstr>97b70348-6168-425b-8cee-4328b09d7ddd</vt:lpwstr>
  </property>
  <property fmtid="{D5CDD505-2E9C-101B-9397-08002B2CF9AE}" pid="7" name="MSIP_Label_8b833d12-c387-4ee1-b3ed-d59690047b70_ActionId">
    <vt:lpwstr>afe16ad9-2a86-467b-a87c-b8d91d73ea76</vt:lpwstr>
  </property>
  <property fmtid="{D5CDD505-2E9C-101B-9397-08002B2CF9AE}" pid="8" name="MSIP_Label_8b833d12-c387-4ee1-b3ed-d59690047b70_ContentBits">
    <vt:lpwstr>0</vt:lpwstr>
  </property>
  <property fmtid="{D5CDD505-2E9C-101B-9397-08002B2CF9AE}" pid="9" name="MSIP_Label_8b833d12-c387-4ee1-b3ed-d59690047b70_Tag">
    <vt:lpwstr>10, 3, 0, 1</vt:lpwstr>
  </property>
  <property fmtid="{D5CDD505-2E9C-101B-9397-08002B2CF9AE}" pid="10" name="ContentTypeId">
    <vt:lpwstr>0x010100F886A1874FE21B44BAD3A316A1A6FBD9</vt:lpwstr>
  </property>
  <property fmtid="{D5CDD505-2E9C-101B-9397-08002B2CF9AE}" pid="12" name="docLang">
    <vt:lpwstr>en</vt:lpwstr>
  </property>
  <property fmtid="{D5CDD505-2E9C-101B-9397-08002B2CF9AE}" pid="13" name="MediaServiceImageTags">
    <vt:lpwstr/>
  </property>
</Properties>
</file>